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NachwV 2007 — Anordnung, Widerruf</w:t>
      </w:r>
    </w:p>
    <w:p>
      <w:r>
        <w:rPr>
          <w:color w:val="555555"/>
          <w:sz w:val="18"/>
        </w:rPr>
        <w:t xml:space="preserve">Nachweisverordnung</w:t>
      </w:r>
    </w:p>
    <w:p>
      <w:r>
        <w:rPr>
          <w:color w:val="555555"/>
          <w:sz w:val="18"/>
        </w:rPr>
        <w:t xml:space="preserve">Stand: 10.06.2019 (konsolidierte Textfassung, kein amtliches Inkrafttretensdatum)</w:t>
      </w:r>
    </w:p>
    <w:p>
      <w:r>
        <w:t xml:space="preserve">(1) Die zuständige Behörde kann anordnen, dass der Abfallerzeuger und der nach § 7 Abs. 1 freigestellte Abfallentsorger abweichend von § 7 Abs. 4 zum Nachweis der Zulässigkeit der Entsorgung in bestimmten Fällen eine Bestätigung nach § 5 einholen, wenn</w:t>
      </w:r>
    </w:p>
    <w:p>
      <w:pPr>
        <w:ind w:left="420"/>
      </w:pPr>
      <w:r>
        <w:t xml:space="preserve">1. Tatsachen die Annahme rechtfertigen, dass der Abfallerzeuger oder der Abfallentsorger in diesen Fällen gegen die ihnen bei der Abfallentsorgung oder im Rahmen der Überwachung obliegenden Pflichten verstoßen oder verstoßen haben oder</w:t>
      </w:r>
    </w:p>
    <w:p>
      <w:pPr>
        <w:ind w:left="420"/>
      </w:pPr>
      <w:r>
        <w:t xml:space="preserve">2. sonstige Gründe des Wohls der Allgemeinheit die Anordnung der Einholung einer Bestätigung erfordern.</w:t>
      </w:r>
    </w:p>
    <w:p>
      <w:r>
        <w:t xml:space="preserve">Sind der zuständigen Behörde Tatsachen im Sinne des Satzes 1 Nr. 1 bekannt, obliegt es dem Abfallerzeuger oder dem Abfallentsorger, diese zu widerlegen.</w:t>
      </w:r>
    </w:p>
    <w:p>
      <w:r>
        <w:t xml:space="preserve">(2) Rechtfertigen im Falle des Absatzes 1 Nr. 1 Tatsachen die Annahme eines Pflichtenverstoßes des Abfallentsorgers, so kann die zuständige Behörde</w:t>
      </w:r>
    </w:p>
    <w:p>
      <w:pPr>
        <w:ind w:left="420"/>
      </w:pPr>
      <w:r>
        <w:t xml:space="preserve">1. gegenüber einem nach § 7 Abs. 1 Nr. 1 oder 3 freigestellten Abfallentsorger auch anordnen, dass dieser abweichend von § 7 Abs. 1 Abfälle nur nach vorhergehender Bestätigung nach § 5 annehmen darf und</w:t>
      </w:r>
    </w:p>
    <w:p>
      <w:pPr>
        <w:ind w:left="420"/>
      </w:pPr>
      <w:r>
        <w:t xml:space="preserve">2. gegenüber einem nach § 7 Abs. 1 Nr. 2 auf Antrag freigestellten Abfallentsorger die Freistellung widerrufen,</w:t>
      </w:r>
    </w:p>
    <w:p>
      <w:r>
        <w:t xml:space="preserve">wenn der freigestellte Abfallentsorger nicht innerhalb einer von der zuständigen Behörde angemessen gesetzten Frist die Tatsachen widerlegt.</w:t>
      </w:r>
    </w:p>
    <w:p>
      <w:r>
        <w:rPr>
          <w:color w:val="555555"/>
          <w:sz w:val="17"/>
        </w:rPr>
        <w:t xml:space="preserve">Zitiervorschlag: § 8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