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NachwV 2007 — Eingangsbestätigung</w:t>
      </w:r>
    </w:p>
    <w:p>
      <w:r>
        <w:rPr>
          <w:color w:val="555555"/>
          <w:sz w:val="18"/>
        </w:rPr>
        <w:t xml:space="preserve">Nachweisverordnung</w:t>
      </w:r>
    </w:p>
    <w:p>
      <w:r>
        <w:rPr>
          <w:color w:val="555555"/>
          <w:sz w:val="18"/>
        </w:rPr>
        <w:t xml:space="preserve">Stand: 10.06.2019 (konsolidierte Textfassung, kein amtliches Inkrafttretensdatum)</w:t>
      </w:r>
    </w:p>
    <w:p>
      <w:r>
        <w:t xml:space="preserve">Die für den Abfallentsorger zuständige Behörde hat dem Abfallerzeuger und dem Abfallentsorger innerhalb von zwölf Kalendertagen den Eingang der Nachweiserklärungen unter Angabe des Eingangsdatums zu bestätigen (Eingangsbestätigung), sofern sie nicht bereits innerhalb dieser Frist die Zulässigkeit der vorgesehenen Entsorgung gemäß § 5 Abs. 1 bestätigt. Sie hat nach Eingang unverzüglich zu prüfen, ob die Nachweiserklärungen den Anforderungen entsprechen. Entsprechen die Nachweiserklärungen nicht den Anforderungen, so hat die für den Abfallentsorger zuständige Behörde den Abfallerzeuger und den Abfallentsorger unverzüglich aufzufordern, die Nachweiserklärungen innerhalb einer angemessenen Frist zu ergänzen oder weitere für die Prüfung erforderliche Unterlagen vorzulegen. Kommt der Abfallerzeuger oder der Abfallentsorger der Aufforderung zur Ergänzung der Nachweiserklärungen oder zur Vorlage weiterer Unterlagen nach, so finden im Weiteren die Sätze 1 bis 3 entsprechende Anwendung.</w:t>
      </w:r>
    </w:p>
    <w:p>
      <w:r>
        <w:rPr>
          <w:color w:val="555555"/>
          <w:sz w:val="17"/>
        </w:rPr>
        <w:t xml:space="preserve">Zitiervorschlag: § 4 NachwV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https://recht.nulegal.eu/gesetze/NachwV%202007/4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NachwV 2007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