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NachwV 2007 — Übergangsbestimmungen für geltende Freistellungen</w:t>
      </w:r>
    </w:p>
    <w:p>
      <w:r>
        <w:rPr>
          <w:color w:val="555555"/>
          <w:sz w:val="18"/>
        </w:rPr>
        <w:t xml:space="preserve">Nachweisverordnung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Freistellung von der Bestätigungspflicht auf Antrag des Abfallentsorgers, die bei dem nach Artikel 8 Abs. 1 der Verordnung zur Vereinfachung der abfallrechtlichen Überwachung vom 20. Oktober 2006 (BGBl. I S. 2298) bestimmten Inkrafttreten bereits nach der Nachweisverordnung in der Fassung der Bekanntmachung vom 17. Juni 2002 (BGBl. I S. 2374), zuletzt geändert durch Artikel 4 der Verordnung vom 15. August 2002 (BGBl. I S. 3302), erteilt worden ist, gilt bis zum Ablauf ihrer Geltungsdauer als Freistellung nach § 7 Abs. 1 Nr. 2 fort.</w:t>
      </w:r>
    </w:p>
    <w:p>
      <w:r>
        <w:rPr>
          <w:color w:val="555555"/>
          <w:sz w:val="17"/>
        </w:rPr>
        <w:t xml:space="preserve">Zitiervorschlag: § 30 NachwV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https://recht.nulegal.eu/gesetze/NachwV%202007/30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