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NachwV 2007 — Ordnungswidrigkeiten</w:t>
      </w:r>
    </w:p>
    <w:p>
      <w:r>
        <w:rPr>
          <w:color w:val="555555"/>
          <w:sz w:val="18"/>
        </w:rPr>
        <w:t xml:space="preserve">Nachweisverordnung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Ordnungswidrig im Sinne des § 69 Absatz 2 Nummer 15 des Kreislaufwirtschaftsgesetzes handelt, wer vorsätzlich oder fahrlässig</w:t>
      </w:r>
    </w:p>
    <w:p>
      <w:pPr>
        <w:ind w:left="420"/>
      </w:pPr>
      <w:r>
        <w:t xml:space="preserve">1. einer vollziehbaren Auflage nach § 5 Abs. 4 Satz 2, auch in Verbindung mit § 9 Abs. 3 Satz 1 oder § 15 Nr. 1, zuwiderhandelt,</w:t>
      </w:r>
    </w:p>
    <w:p>
      <w:pPr>
        <w:ind w:left="420"/>
      </w:pPr>
      <w:r>
        <w:t xml:space="preserve">2. entgegen § 6 Abs. 3 Satz 2, auch in Verbindung mit § 9 Abs. 3 Satz 1, § 11 Abs. 2 Satz 2, § 12 Abs. 4 Satz 2 oder § 16b Satz 1 eine dort genannte Unterlage nicht mitführt oder nicht oder nicht rechtzeitig vorlegt,</w:t>
      </w:r>
    </w:p>
    <w:p>
      <w:pPr>
        <w:ind w:left="420"/>
      </w:pPr>
      <w:r>
        <w:t xml:space="preserve">3. einer vollziehbaren Anordnung nach § 8 Abs. 1 Satz 1 oder Abs. 2 Nr. 1, auch in Verbindung mit § 9 Abs. 3 Satz 2, oder § 22 Abs. 2, auch in Verbindung mit Abs. 3, zuwiderhandelt,</w:t>
      </w:r>
    </w:p>
    <w:p>
      <w:pPr>
        <w:ind w:left="420"/>
      </w:pPr>
      <w:r>
        <w:t xml:space="preserve">4. entgegen § 17 Absatz 1 einen dort genannten Zugang nicht unterhält,</w:t>
      </w:r>
    </w:p>
    <w:p>
      <w:pPr>
        <w:ind w:left="420"/>
      </w:pPr>
      <w:r>
        <w:t xml:space="preserve">5. entgegen § 18 Abs. 1 Satz 1 eine Nachricht ohne Angabe des eröffneten Empfangszugangs übermittelt,</w:t>
      </w:r>
    </w:p>
    <w:p>
      <w:pPr>
        <w:ind w:left="420"/>
      </w:pPr>
      <w:r>
        <w:t xml:space="preserve">6. entgegen § 18 Abs. 2 Satz 1 nicht gewährleistet, dass eine dort genannte Angabe vorgelegt oder mitgeteilt werden kann,</w:t>
      </w:r>
    </w:p>
    <w:p>
      <w:pPr>
        <w:ind w:left="420"/>
      </w:pPr>
      <w:r>
        <w:t xml:space="preserve">7. (weggefallen)</w:t>
      </w:r>
    </w:p>
    <w:p>
      <w:pPr>
        <w:ind w:left="420"/>
      </w:pPr>
      <w:r>
        <w:t xml:space="preserve">8. entgegen § 22 Abs. 1 Satz 5 eine Meldung nicht, nicht richtig, nicht vollständig oder nicht rechtzeitig macht oder</w:t>
      </w:r>
    </w:p>
    <w:p>
      <w:pPr>
        <w:ind w:left="420"/>
      </w:pPr>
      <w:r>
        <w:t xml:space="preserve">9. (weggefallen)</w:t>
      </w:r>
    </w:p>
    <w:p>
      <w:pPr>
        <w:ind w:left="420"/>
      </w:pPr>
      <w:r>
        <w:t xml:space="preserve">10. entgegen § 28 Abs. 5 Satz 2 eine Nummer verwendet.</w:t>
      </w:r>
    </w:p>
    <w:p>
      <w:r>
        <w:rPr>
          <w:color w:val="555555"/>
          <w:sz w:val="17"/>
        </w:rPr>
        <w:t xml:space="preserve">Zitiervorschlag: § 29 NachwV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https://recht.nulegal.eu/gesetze/NachwV%202007/29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