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NachwV 2007 — Vergabe von Kennnummern</w:t>
      </w:r>
    </w:p>
    <w:p>
      <w:r>
        <w:rPr>
          <w:color w:val="555555"/>
          <w:sz w:val="18"/>
        </w:rPr>
        <w:t xml:space="preserve">Nachweisverordnung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zur Führung von Nachweisen und Registern erforderlichen Identifikations-, Erzeuger-, Beförderer-, Sammler-, Händler-, Makler- und Entsorgernummern werden durch die zuständige Behörde erteilt.</w:t>
      </w:r>
    </w:p>
    <w:p>
      <w:r>
        <w:t xml:space="preserve">(2) Die zur Unterscheidung der einzelnen Nachweisvorgänge erforderlichen Nummern sowie die Freistellungsnummern erteilt die für den Entsorger zuständige Behörde. Die im Falle der Ersetzung von Einzelnachweisen nach § 50 Absatz 2 des Kreislaufwirtschaftsgesetzes erforderliche Registriernummer erteilt die für den Erzeuger zuständige Behörde. Die zuständige Behörde kann zulassen, dass die nach Satz 1 erforderlichen Kennnummern von einem Dritten, insbesondere einem freigestellten Entsorger, erteilt werden. Die nach den Sätzen 1 und 2 zu erteilenden Kennnummern erhalten in den ersten beiden Stellen folgende Kennbuchstaben:</w:t>
      </w:r>
    </w:p>
    <w:p>
      <w:pPr>
        <w:ind w:left="420"/>
      </w:pPr>
      <w:r>
        <w:t xml:space="preserve">1. "EN" für Entsorgungsnachweis,</w:t>
      </w:r>
    </w:p>
    <w:p>
      <w:pPr>
        <w:ind w:left="420"/>
      </w:pPr>
      <w:r>
        <w:t xml:space="preserve">2. "SN" für Sammelentsorgungsnachweis,</w:t>
      </w:r>
    </w:p>
    <w:p>
      <w:pPr>
        <w:ind w:left="420"/>
      </w:pPr>
      <w:r>
        <w:t xml:space="preserve">3. "FR" für Freistellung,</w:t>
      </w:r>
    </w:p>
    <w:p>
      <w:pPr>
        <w:ind w:left="420"/>
      </w:pPr>
      <w:r>
        <w:t xml:space="preserve">4. "RE" für Register.</w:t>
      </w:r>
    </w:p>
    <w:p>
      <w:r>
        <w:t xml:space="preserve">In die dritte Stelle ist die Landeskennung aufzunehmen.</w:t>
      </w:r>
    </w:p>
    <w:p>
      <w:r>
        <w:t xml:space="preserve">(3) Bei elektronischer Führung von Nachweisen wird die Vergabe der Kennnummern nach Absatz 2 gemäß § 20 von den Ländern sichergestellt.</w:t>
      </w:r>
    </w:p>
    <w:p>
      <w:r>
        <w:t xml:space="preserve">(4) Für jeden elektronisch durchgeführten Entsorgungsvorgang ist nur eine Begleitschein-/Übernahmescheinnummer zu verwenden, die von dem von den Ländern eingerichteten System (§ 20) zur Verfügung gestellt wird.</w:t>
      </w:r>
    </w:p>
    <w:p>
      <w:r>
        <w:t xml:space="preserve">(5) Nachweise müssen die nach den Absätzen 1 bis 4 erteilten Nummern enthalten. Die Nummern dürfen von den Nachweispflichtigen ausschließlich zu den dort bestimmten Zwecken verwendet werden.</w:t>
      </w:r>
    </w:p>
    <w:p>
      <w:r>
        <w:t xml:space="preserve">(6) Die nach dieser Verordnung erforderlichen Landeskenner sind wie folgt zu verwenden:</w:t>
      </w:r>
    </w:p>
    <w:p>
      <w:pPr>
        <w:ind w:left="420"/>
      </w:pPr>
      <w:r>
        <w:t xml:space="preserve">A Schleswig-Holstein</w:t>
      </w:r>
    </w:p>
    <w:p>
      <w:pPr>
        <w:ind w:left="420"/>
      </w:pPr>
      <w:r>
        <w:t xml:space="preserve">B Hamburg</w:t>
      </w:r>
    </w:p>
    <w:p>
      <w:pPr>
        <w:ind w:left="420"/>
      </w:pPr>
      <w:r>
        <w:t xml:space="preserve">C Niedersachsen</w:t>
      </w:r>
    </w:p>
    <w:p>
      <w:pPr>
        <w:ind w:left="420"/>
      </w:pPr>
      <w:r>
        <w:t xml:space="preserve">D Bremen</w:t>
      </w:r>
    </w:p>
    <w:p>
      <w:pPr>
        <w:ind w:left="420"/>
      </w:pPr>
      <w:r>
        <w:t xml:space="preserve">E Nordrhein-Westfalen</w:t>
      </w:r>
    </w:p>
    <w:p>
      <w:pPr>
        <w:ind w:left="420"/>
      </w:pPr>
      <w:r>
        <w:t xml:space="preserve">F Hessen</w:t>
      </w:r>
    </w:p>
    <w:p>
      <w:pPr>
        <w:ind w:left="420"/>
      </w:pPr>
      <w:r>
        <w:t xml:space="preserve">G Rheinland-Pfalz</w:t>
      </w:r>
    </w:p>
    <w:p>
      <w:pPr>
        <w:ind w:left="420"/>
      </w:pPr>
      <w:r>
        <w:t xml:space="preserve">H Baden-Württemberg</w:t>
      </w:r>
    </w:p>
    <w:p>
      <w:pPr>
        <w:ind w:left="420"/>
      </w:pPr>
      <w:r>
        <w:t xml:space="preserve">I Bayern</w:t>
      </w:r>
    </w:p>
    <w:p>
      <w:pPr>
        <w:ind w:left="420"/>
      </w:pPr>
      <w:r>
        <w:t xml:space="preserve">K Saarland</w:t>
      </w:r>
    </w:p>
    <w:p>
      <w:pPr>
        <w:ind w:left="420"/>
      </w:pPr>
      <w:r>
        <w:t xml:space="preserve">L Berlin</w:t>
      </w:r>
    </w:p>
    <w:p>
      <w:pPr>
        <w:ind w:left="420"/>
      </w:pPr>
      <w:r>
        <w:t xml:space="preserve">M Mecklenburg-Vorpommern</w:t>
      </w:r>
    </w:p>
    <w:p>
      <w:pPr>
        <w:ind w:left="420"/>
      </w:pPr>
      <w:r>
        <w:t xml:space="preserve">N Sachsen-Anhalt</w:t>
      </w:r>
    </w:p>
    <w:p>
      <w:pPr>
        <w:ind w:left="420"/>
      </w:pPr>
      <w:r>
        <w:t xml:space="preserve">P Brandenburg</w:t>
      </w:r>
    </w:p>
    <w:p>
      <w:pPr>
        <w:ind w:left="420"/>
      </w:pPr>
      <w:r>
        <w:t xml:space="preserve">R Thüringen</w:t>
      </w:r>
    </w:p>
    <w:p>
      <w:pPr>
        <w:ind w:left="420"/>
      </w:pPr>
      <w:r>
        <w:t xml:space="preserve">S Sachsen.</w:t>
      </w:r>
    </w:p>
    <w:p>
      <w:r>
        <w:rPr>
          <w:color w:val="555555"/>
          <w:sz w:val="17"/>
        </w:rPr>
        <w:t xml:space="preserve">Zitiervorschlag: § 28 NachwV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https://recht.nulegal.eu/gesetze/NachwV%202007/28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