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NachwV 2007 — Nachweisführung in besonderen Fällen</w:t>
      </w:r>
    </w:p>
    <w:p>
      <w:r>
        <w:rPr>
          <w:color w:val="555555"/>
          <w:sz w:val="18"/>
        </w:rPr>
        <w:t xml:space="preserve">Nachweisverordnung</w:t>
      </w:r>
    </w:p>
    <w:p>
      <w:r>
        <w:rPr>
          <w:color w:val="555555"/>
          <w:sz w:val="18"/>
        </w:rPr>
        <w:t xml:space="preserve">Stand: 10.06.2019 (konsolidierte Textfassung, kein amtliches Inkrafttretensdatum)</w:t>
      </w:r>
    </w:p>
    <w:p>
      <w:r>
        <w:t xml:space="preserve">(1) Wer Abfälle, für die er Nachweise führen muss, von einem anderen übernimmt, der hinsichtlich dieser Abfälle nicht zur Führung von Nachweisen verpflichtet ist, hat auch dessen Namen und Anschrift auf den für ihn bestimmten und auf den von ihm weiter zu übermittelnden oder weiter zu gebenden Ausfertigungen oder Dokumenten der nach dieser Verordnung zu führenden Nachweise anzugeben. Wer Abfälle einem anderen übergibt, der insoweit nicht zur Führung von Nachweisen verpflichtet ist, hat dessen Namen und Anschrift in den nach dieser Verordnung zu führenden Nachweisen anzugeben.</w:t>
      </w:r>
    </w:p>
    <w:p>
      <w:r>
        <w:t xml:space="preserve">(2) Ist wegen anderer als der in Absatz 1 genannten Besonderheiten eine uneingeschränkte Anwendung der Bestimmungen über die Führung von Nachweisen nicht möglich, so hat der betroffene Nachweispflichtige die Nachweise in einer von der zuständigen Behörde bestimmten Weise zu verwenden. Sind mehrere Behörden zuständig, so treffen diese die Entscheidung nach Satz 1 im Einvernehmen.</w:t>
      </w:r>
    </w:p>
    <w:p>
      <w:r>
        <w:rPr>
          <w:color w:val="555555"/>
          <w:sz w:val="17"/>
        </w:rPr>
        <w:t xml:space="preserve">Zitiervorschlag: § 27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