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NachwV 2007 — Befreiung, Anordnung von Nachweis- und Registerpflichten</w:t>
      </w:r>
    </w:p>
    <w:p>
      <w:r>
        <w:rPr>
          <w:color w:val="555555"/>
          <w:sz w:val="18"/>
        </w:rPr>
        <w:t xml:space="preserve">Nachweisverordnung</w:t>
      </w:r>
    </w:p>
    <w:p>
      <w:r>
        <w:rPr>
          <w:color w:val="555555"/>
          <w:sz w:val="18"/>
        </w:rPr>
        <w:t xml:space="preserve">Stand: 10.06.2019 (konsolidierte Textfassung, kein amtliches Inkrafttretensdatum)</w:t>
      </w:r>
    </w:p>
    <w:p>
      <w:r>
        <w:t xml:space="preserve">(1) Die zuständige Behörde kann einen nach § 49 oder § 50 des Kreislaufwirtschaftsgesetzes Verpflichteten auf Antrag oder von Amts wegen ganz oder teilweise unter dem Vorbehalt des Widerrufs von der Führung von Nachweisen oder Registern freistellen, soweit hierdurch eine Beeinträchtigung des Wohls der Allgemeinheit nicht zu befürchten ist. Die zuständige Behörde kann die Erbringung anderer geeigneter Nachweise verlangen.</w:t>
      </w:r>
    </w:p>
    <w:p>
      <w:r>
        <w:t xml:space="preserve">(2) Die zuständige Behörde kann gegenüber einem nach § 49 des Kreislaufwirtschaftsgesetzes zur Führung von Registern über die Entsorgung nicht gefährlicher Abfälle Verpflichteten die Registrierung weiterer Angaben anordnen.</w:t>
      </w:r>
    </w:p>
    <w:p>
      <w:r>
        <w:rPr>
          <w:color w:val="555555"/>
          <w:sz w:val="17"/>
        </w:rPr>
        <w:t xml:space="preserve">Zitiervorschlag: § 26 NachwV 2007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https://recht.nulegal.eu/gesetze/NachwV%202007/26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