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NachwV 2007 — Dauer der Registrierung, elektronische Registerführung</w:t>
      </w:r>
    </w:p>
    <w:p>
      <w:r>
        <w:rPr>
          <w:color w:val="555555"/>
          <w:sz w:val="18"/>
        </w:rPr>
        <w:t xml:space="preserve">Nachweisverordnung</w:t>
      </w:r>
    </w:p>
    <w:p>
      <w:r>
        <w:rPr>
          <w:color w:val="555555"/>
          <w:sz w:val="18"/>
        </w:rPr>
        <w:t xml:space="preserve">Stand: 10.06.2019 (konsolidierte Textfassung, kein amtliches Inkrafttretensdatum)</w:t>
      </w:r>
    </w:p>
    <w:p>
      <w:r>
        <w:t xml:space="preserve">(1) Die zur Einrichtung und Führung der Register Verpflichteten haben die nach § 24 Abs. 2 bis 4, Abs. 5 Satz 1, Abs. 6 oder 7 in die Register einzustellenden Belege oder Angaben drei Jahre, jeweils vom Datum ihrer Einstellung in das Register an gerechnet, in dem Register aufzubewahren oder zu belassen. Der Zulassungsbescheid für die Abfallentsorgungsanlage kann eine längere Dauer bestimmen als nach Satz 1 vorgesehen.</w:t>
      </w:r>
    </w:p>
    <w:p>
      <w:r>
        <w:t xml:space="preserve">(2) Die Register über nachweispflichtige Abfälle sind elektronisch zu führen, soweit für die in die Register einzustellenden Nachweise die elektronische Nachweisführung zwingend bestimmt ist. Im Übrigen können die Register elektronisch geführt werden. Werden die Register elektronisch geführt, so sind jeweils die aktuellen Versionen der Belege oder Angaben in entsprechender Anwendung des Absatzes 1 und des § 24 dauerhaft und geordnet zu speichern. Soweit die zuständige Behörde gemäß § 49 Absatz 4 des Kreislaufwirtschaftsgesetzes die elektronische Vorlage des Registers oder einzelner Angaben aus dem Register anordnet, finden auf die Erfüllung dieser Anordnung die §§ 17 bis 20 sowie § 22 entsprechende Anwendung.</w:t>
      </w:r>
    </w:p>
    <w:p>
      <w:r>
        <w:t xml:space="preserve">(3) Absatz 2 Satz 1 gilt für die vom Einsammler in sein Register einzustellenden Ausfertigungen des Übernahmescheins auch dann, wenn der Übernahmeschein nach § 21 unter Verwendung der hierfür vorgesehenen Formblätter der Anlage 1 geführt wird.</w:t>
      </w:r>
    </w:p>
    <w:p>
      <w:r>
        <w:rPr>
          <w:color w:val="555555"/>
          <w:sz w:val="17"/>
        </w:rPr>
        <w:t xml:space="preserve">Zitiervorschlag: § 25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