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NachwV 2007 — Kreis der Nachweispflichtigen und Form der Nachweisführung</w:t>
      </w:r>
    </w:p>
    <w:p>
      <w:r>
        <w:rPr>
          <w:color w:val="555555"/>
          <w:sz w:val="18"/>
        </w:rPr>
        <w:t xml:space="preserve">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Nachweisführung nach diesem Teil verpflichtet sind Abfallerzeuger, Abfallbeförderer und Abfallentsorger, soweit eine Pflicht zur Führung von Nachweisen nach</w:t>
      </w:r>
    </w:p>
    <w:p>
      <w:pPr>
        <w:ind w:left="420"/>
      </w:pPr>
      <w:r>
        <w:t xml:space="preserve">1. § 50 Absatz 1 des Kreislaufwirtschaftsgesetzes über die Entsorgung gefährlicher Abfälle oder</w:t>
      </w:r>
    </w:p>
    <w:p>
      <w:pPr>
        <w:ind w:left="420"/>
      </w:pPr>
      <w:r>
        <w:t xml:space="preserve">2. § 51 Absatz 1 Satz 1 Nummer 1 des Kreislaufwirtschaftsgesetzes über die Entsorgung nicht gefährlicher Abfälle auf Anordnung der zuständigen Behörde</w:t>
      </w:r>
    </w:p>
    <w:p>
      <w:r>
        <w:t xml:space="preserve">besteht.</w:t>
      </w:r>
    </w:p>
    <w:p>
      <w:r>
        <w:t xml:space="preserve">(2) Von der Nachweispflicht nach Absatz 1 Nr. 1 ausgenommen sind Abfallerzeuger, wenn bei ihnen nicht mehr als insgesamt zwei Tonnen gefährlicher Abfälle (Kleinmengen) jährlich anfallen. Die Pflichten zur Führung der Übernahmescheine nach § 12 sowie nach § 16 bleiben unberührt.</w:t>
      </w:r>
    </w:p>
    <w:p>
      <w:r>
        <w:t xml:space="preserve">(3) Die in den Abschnitten 1 bis 3 bestimmten Verfahren und Inhalte zur Führung der Nachweise gelten für die elektronische Nachweisführung und unter Verwendung von Formblättern, soweit nichts anderes bestimmt ist.</w:t>
      </w:r>
    </w:p>
    <w:p>
      <w:r>
        <w:rPr>
          <w:color w:val="555555"/>
          <w:sz w:val="17"/>
        </w:rPr>
        <w:t xml:space="preserve">Zitiervorschlag: § 2 NachwV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https://recht.nulegal.eu/gesetze/NachwV%202007/2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