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NachwV 2007 — Grundsatz</w:t>
      </w:r>
    </w:p>
    <w:p>
      <w:r>
        <w:rPr>
          <w:color w:val="555555"/>
          <w:sz w:val="18"/>
        </w:rPr>
        <w:t xml:space="preserve">Nachweisverordnung</w:t>
      </w:r>
    </w:p>
    <w:p>
      <w:r>
        <w:rPr>
          <w:color w:val="555555"/>
          <w:sz w:val="18"/>
        </w:rPr>
        <w:t xml:space="preserve">Stand: 10.06.2019 (konsolidierte Textfassung, kein amtliches Inkrafttretensdatum)</w:t>
      </w:r>
    </w:p>
    <w:p>
      <w:r>
        <w:t xml:space="preserve">(1) Abweichend von den Bestimmungen der Abschnitte 1 bis 3 haben die zur Führung von Nachweisen über die Entsorgung gefährlicher Abfälle Verpflichteten sowie die zuständigen Behörden in den dort bestimmten Fällen die zur Nachweisführung erforderlichen Erklärungen, Vermerke zum Fristablauf, Bestätigungen und Entscheidungen, Ablichtungen, Anträge und Freistellungen entsprechend nach Maßgabe dieses Abschnittes elektronisch zu übermitteln, mit einer qualifizierten elektronischen Signatur zu versehen sowie die für den Empfang erforderlichen Zugänge zu eröffnen und zu unterhalten, soweit nicht nach den Bestimmungen dieses Abschnitts oder einer auf Grund des § 26 ergangenen Entscheidung der zuständigen Behörde eine andere Form der Übermittlung unter Verwendung von Formblättern ausdrücklich zugelassen wird.</w:t>
      </w:r>
    </w:p>
    <w:p>
      <w:r>
        <w:t xml:space="preserve">(2) Absatz 1 gilt auch für die nach § 2 Abs. 1 Nr. 2 Verpflichteten, soweit nach § 51 Absatz 1 Satz 2 des Kreislaufwirtschaftsgesetzes die elektronische Nachweisführung zugelassen oder angeordnet ist.</w:t>
      </w:r>
    </w:p>
    <w:p>
      <w:r>
        <w:rPr>
          <w:color w:val="555555"/>
          <w:sz w:val="17"/>
        </w:rPr>
        <w:t xml:space="preserve">Zitiervorschlag: § 17 NachwV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https://recht.nulegal.eu/gesetze/NachwV%202007/17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