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NachwV 2007 — Entsorgung durch Dritte, Verbände und Selbstverwaltungskörperschaften</w:t>
      </w:r>
    </w:p>
    <w:p>
      <w:r>
        <w:rPr>
          <w:color w:val="555555"/>
          <w:sz w:val="18"/>
        </w:rPr>
        <w:t xml:space="preserve">Nachweisverordnung</w:t>
      </w:r>
    </w:p>
    <w:p>
      <w:r>
        <w:rPr>
          <w:color w:val="555555"/>
          <w:sz w:val="18"/>
        </w:rPr>
        <w:t xml:space="preserve">Stand: 10.06.2019 (konsolidierte Textfassung, kein amtliches Inkrafttretensdatum)</w:t>
      </w:r>
    </w:p>
    <w:p>
      <w:r>
        <w:t xml:space="preserve">Soweit Erzeuger- und Besitzerpflichten gemäß § 16 Absatz 2, § 17 Absatz 3 oder § 18 Absatz 2 des Kreislaufwirtschafts- und Abfallgesetzes vom 27. September 1994 (BGBl. I S. 2705), das zuletzt durch Artikel 5 des Gesetzes vom 6. Oktober 2011 (BGBl. I S. 1986) geändert worden ist, auf Dritte, Verbände oder Selbstverwaltungskörperschaften der Wirtschaft übertragen worden sind, kann die zuständige Behörde auf Antrag für diese Entsorgungsträger die Nachweisführung in entsprechender Anwendung der §§ 9, 12 und 13 zulassen. Satz 1 findet entsprechende Anwendung, soweit die Entsorgung durch öffentlich-rechtliche Entsorgungsträger erfolgt.</w:t>
      </w:r>
    </w:p>
    <w:p>
      <w:r>
        <w:rPr>
          <w:color w:val="555555"/>
          <w:sz w:val="17"/>
        </w:rPr>
        <w:t xml:space="preserve">Zitiervorschlag: § 14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