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NachwG — Bußgeldvorschriften</w:t>
      </w:r>
    </w:p>
    <w:p>
      <w:r>
        <w:rPr>
          <w:color w:val="555555"/>
          <w:sz w:val="18"/>
        </w:rPr>
        <w:t xml:space="preserve">Nachweisgesetz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entgegen § 2 Absatz 1 Satz 1 eine in § 2 Absatz 1 Satz 7 genannte wesentliche Vertragsbedingung nicht, nicht richtig, nicht vollständig, nicht in der vorgeschriebenen Weise oder nicht rechtzeitig aushändigt,</w:t>
      </w:r>
    </w:p>
    <w:p>
      <w:pPr>
        <w:ind w:left="420"/>
      </w:pPr>
      <w:r>
        <w:t xml:space="preserve">2. entgegen § 2 Absatz 1 Satz 3, auch in Verbindung mit Satz 4, jeweils auch in Verbindung mit § 2 Absatz 2 Satz 2 Nummer 2, Absatz 3 Satz 2 Nummer 2 oder § 3 Absatz 1 Satz 2 Nummer 2, eine dort genannte Niederschrift nicht, nicht richtig, nicht vollständig oder nicht rechtzeitig erteilt,</w:t>
      </w:r>
    </w:p>
    <w:p>
      <w:pPr>
        <w:ind w:left="420"/>
      </w:pPr>
      <w:r>
        <w:t xml:space="preserve">3. entgegen § 2 Absatz 2 Satz 1, auch in Verbindung mit Absatz 3 Satz 1, eine dort genannte Niederschrift nicht, nicht richtig, nicht vollständig oder nicht rechtzeitig aushändigt oder</w:t>
      </w:r>
    </w:p>
    <w:p>
      <w:pPr>
        <w:ind w:left="420"/>
      </w:pPr>
      <w:r>
        <w:t xml:space="preserve">4. entgegen § 3 Absatz 1 Satz 1 eine Mitteilung nicht, nicht richtig, nicht vollständig, nicht in der vorgeschriebenen Weise oder nicht rechtzeitig macht.</w:t>
      </w:r>
    </w:p>
    <w:p>
      <w:r>
        <w:t xml:space="preserve">(2) Die Ordnungswidrigkeit kann mit einer Geldbuße bis zu zweitausend Euro geahndet werden.</w:t>
      </w:r>
    </w:p>
    <w:p>
      <w:r>
        <w:rPr>
          <w:color w:val="555555"/>
          <w:sz w:val="17"/>
        </w:rPr>
        <w:t xml:space="preserve">Zitiervorschlag: § 4 NachwG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https://recht.nulegal.eu/gesetze/NachwG/4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