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NachwG — Änderung der Angaben</w:t>
      </w:r>
    </w:p>
    <w:p>
      <w:r>
        <w:rPr>
          <w:color w:val="555555"/>
          <w:sz w:val="18"/>
        </w:rPr>
        <w:t xml:space="preserve">Nachweisgesetz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Eine Änderung der wesentlichen Vertragsbedingungen oder der in § 2 Absatz 2 und 3 genannten Angaben ist dem Arbeitnehmer spätestens an dem Tag, an dem sie wirksam wird, schriftlich mitzuteilen. Auf die Verpflichtung nach Satz 1 finden folgende Regelungen entsprechende Anwendung:</w:t>
      </w:r>
    </w:p>
    <w:p>
      <w:pPr>
        <w:ind w:left="420"/>
      </w:pPr>
      <w:r>
        <w:t xml:space="preserve">1. § 2 Absatz 1 Satz 2, 5 und 6 sowie</w:t>
      </w:r>
    </w:p>
    <w:p>
      <w:pPr>
        <w:ind w:left="420"/>
      </w:pPr>
      <w:r>
        <w:t xml:space="preserve">2. § 2 Absatz 1 Satz 3 und 4.</w:t>
      </w:r>
    </w:p>
    <w:p>
      <w:r>
        <w:t xml:space="preserve">Satz 1 gilt nicht bei einer Änderung der auf das Arbeitsverhältnis anwendbaren gesetzlichen Vorschriften, Tarifverträge, Betriebs- oder Dienstvereinbarungen sowie Regelungen paritätisch besetzter Kommissionen, die auf der Grundlage kirchlichen Rechts Arbeitsbedingungen für den Bereich kirchlicher Arbeitgeber festlegen.</w:t>
      </w:r>
    </w:p>
    <w:p>
      <w:r>
        <w:t xml:space="preserve">(2) Die Verpflichtung nach Absatz 1 Satz 1 entfällt, sofern dem Arbeitnehmer hinsichtlich der Änderung ein schriftlicher Änderungsvertrag ausgehändigt worden ist. Das Gleiche gilt, wenn dem Arbeitnehmer hinsichtlich der Änderung ein Änderungsvertrag in Textform nach Maßgabe des § 2 Absatz 1 Satz 2 übermittelt worden ist; unberührt bleibt der Anspruch nach § 2 Absatz 1 Satz 3. Satz 2 gilt nicht in den Fällen des § 2 Absatz 1 Satz 6.</w:t>
      </w:r>
    </w:p>
    <w:p>
      <w:r>
        <w:rPr>
          <w:color w:val="555555"/>
          <w:sz w:val="17"/>
        </w:rPr>
        <w:t xml:space="preserve">Zitiervorschlag: § 3 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