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NachhG — Beherrschung eines Betreibers</w:t>
      </w:r>
    </w:p>
    <w:p>
      <w:r>
        <w:rPr>
          <w:color w:val="555555"/>
          <w:sz w:val="18"/>
        </w:rPr>
        <w:t xml:space="preserve">Nachhaftungsgesetz</w:t>
      </w:r>
    </w:p>
    <w:p>
      <w:r>
        <w:rPr>
          <w:color w:val="555555"/>
          <w:sz w:val="18"/>
        </w:rPr>
        <w:t xml:space="preserve">Stand: 10.06.2019 (konsolidierte Textfassung, kein amtliches Inkrafttretensdatum)</w:t>
      </w:r>
    </w:p>
    <w:p>
      <w:r>
        <w:t xml:space="preserve">(1) Herrschende Unternehmen im Sinne dieses Gesetzes sind Unternehmen, denen unmittelbar oder mittelbar mindestens die Hälfte der Anteile an einem Betreiber gehört oder denen mindestens die Hälfte der Stimmrechte der Gesellschafter eines Betreibers zusteht oder die unabhängig davon in sonstigen Fällen allein oder gemeinsam einen beherrschenden Einfluss auf einen Betreiber ausüben können. Für die Berechnung des Teils der Anteile oder der Stimmrechte gilt § 16 Absatz 2 und 3 des Aktiengesetzes entsprechend. Anteile und Stimmrechte Dritter werden entsprechend § 16 Absatz 4 des Aktiengesetzes zugerechnet.</w:t>
      </w:r>
    </w:p>
    <w:p>
      <w:r>
        <w:t xml:space="preserve">(2) Jeder persönlich haftende Gesellschafter eines Betreibers oder eines diesen beherrschenden Unternehmens in der Rechtsform einer Personenhandelsgesellschaft gilt als herrschendes Unternehmen.</w:t>
      </w:r>
    </w:p>
    <w:p>
      <w:r>
        <w:t xml:space="preserve">(3) Die Eigenschaft als herrschendes Unternehmen im Sinne dieses Gesetzes entfällt nicht dadurch, dass der Betreiber als Rechtsträger erlischt.</w:t>
      </w:r>
    </w:p>
    <w:p>
      <w:r>
        <w:rPr>
          <w:color w:val="555555"/>
          <w:sz w:val="17"/>
        </w:rPr>
        <w:t xml:space="preserve">Zitiervorschlag: § 2 NachhG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https://recht.nulegal.eu/gesetze/NachhG/2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