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NachhG — Nachhaftung</w:t>
      </w:r>
    </w:p>
    <w:p>
      <w:r>
        <w:rPr>
          <w:color w:val="555555"/>
          <w:sz w:val="18"/>
        </w:rPr>
        <w:t xml:space="preserve">Nachhaftungsgesetz</w:t>
      </w:r>
    </w:p>
    <w:p>
      <w:r>
        <w:rPr>
          <w:color w:val="555555"/>
          <w:sz w:val="18"/>
        </w:rPr>
        <w:t xml:space="preserve">Stand: 19.06.2021 (konsolidierte Textfassung, kein amtliches Inkrafttretensdatum)</w:t>
      </w:r>
    </w:p>
    <w:p>
      <w:r>
        <w:t xml:space="preserve">(1) Für sämtliche gegenwärtige und zukünftige öffentlich-rechtliche Zahlungsverpflichtungen eines Betreibers von im Inland gelegenen Anlagen zur Spaltung von Kernbrennstoffen zur gewerblichen Erzeugung von Elektrizität (Betreiber), die für die Stilllegung, den sicheren Einschluss und den Abbau dieser Anlagen nach § 7 Absatz 3 des Atomgesetzes sowie für die geordnete Beseitigung der radioaktiven Abfälle nach § 9a Absatz 1 Satz 1 des Atomgesetzes entstehen, insbesondere für die Verbindlichkeiten aus den §§ 21a und 21b des Atomgesetzes, der Endlagervorausleistungsverordnung, aus Teil 4 des Standortauswahlgesetzes sowie aus § 7 Absatz 2 und § 8 des Entsorgungsfondsgesetzes, haften herrschende Unternehmen der jeweils anspruchsberechtigten Körperschaft neben dem Betreiber, wenn dieser diese Zahlungsverpflichtungen bei Fälligkeit nicht erfüllt. Satz 1 gilt auch für Entgelte, die anstelle dieser öffentlich-rechtlichen Zahlungsverpflichtungen erhoben werden, sowie für den Fall der Ratenzahlung gemäß § 7 Absatz 4 des Entsorgungsfondsgesetzes.</w:t>
      </w:r>
    </w:p>
    <w:p>
      <w:r>
        <w:t xml:space="preserve">(2) Nimmt eine Behörde im Wege der Verwaltungsvollstreckung eine Handlung vor oder lässt sie durch einen Dritten eine Handlung vornehmen, zu der der Betreiber aufgrund des zweiten Abschnitts des Atomgesetzes oder einer hierauf beruhenden Rechtsverordnung verpflichtet ist, und erfüllt der Betreiber seine Kostentragungspflicht aus der Vollstreckungshandlung nicht, so kann die Behörde die aus dieser Handlung entstehenden Kosten dem herrschenden Unternehmen neben dem Betreiber auferlegen. Dies gilt insbesondere hinsichtlich</w:t>
      </w:r>
    </w:p>
    <w:p>
      <w:pPr>
        <w:ind w:left="420"/>
      </w:pPr>
      <w:r>
        <w:t xml:space="preserve">1. der Pflichten der Betreiber zum Abbau nach § 7 Absatz 3 des Atomgesetzes sowie</w:t>
      </w:r>
    </w:p>
    <w:p>
      <w:pPr>
        <w:ind w:left="420"/>
      </w:pPr>
      <w:r>
        <w:t xml:space="preserve">2. der Entsorgungspflichten des Betreibers, die nach den Bestimmungen des Entsorgungsübergangsgesetzes nicht übergegangen sind.</w:t>
      </w:r>
    </w:p>
    <w:p>
      <w:r>
        <w:t xml:space="preserve">Das herrschende Unternehmen haftet neben dem Betreiber entsprechend Satz 1 auch für sonstige Kosten der Geltendmachung und Durchsetzung der in § 1 Satz 1 genannten Pflichten gegenüber dem jeweiligen Betreiber.</w:t>
      </w:r>
    </w:p>
    <w:p>
      <w:r>
        <w:t xml:space="preserve">(3) Können Zahlungsverpflichtungen nach Absatz 1 nicht mehr entstehen oder dem Betreiber nicht mehr auferlegt werden, weil der Betreiber als Rechtsträger erloschen ist, so kann die anspruchsberechtigte Behörde die Zahlungsverpflichtungen den herrschenden Unternehmen in dem Umfang auferlegen, in dem sie dem erloschenen Betreiber hätten auferlegt werden können, wenn er noch fortbestehen würde. Nimmt eine Behörde anstelle eines erloschenen Betreibers eine Handlung vor oder lässt sie durch einen Dritten eine Handlung vornehmen, zu der der erloschene Betreiber zur Erfüllung seiner Verpflichtungen aufgrund des zweiten Abschnitts des Atomgesetzes oder einer hierauf beruhenden Rechtsverordnung verpflichtet gewesen wäre oder hätte verpflichtet werden können, wenn er noch fortbestehen würde, so kann die Behörde die aus dieser Handlung entstehenden Kosten dem herrschenden Unternehmen auferlegen.</w:t>
      </w:r>
    </w:p>
    <w:p>
      <w:r>
        <w:t xml:space="preserve">(4) Wenn nach diesem Gesetz ein herrschendes Unternehmen neben einem Betreiber haftet, so haftet das herrschende Unternehmen wie ein Bürge, der auf die Einrede der Vorausklage verzichtet hat. Eine Inanspruchnahme eines herrschenden Unternehmens setzt eine ernsthafte und endgültige Zahlungsverweigerung eines Betreibers, dessen Zahlungseinstellung, drohende Zahlungsunfähigkeit, Zahlungsunfähigkeit oder Überschuldung, oder sonstige besondere Umstände voraus, die die Inanspruchnahme eines herrschenden Unternehmens rechtfertigen.</w:t>
      </w:r>
    </w:p>
    <w:p>
      <w:r>
        <w:t xml:space="preserve">(5) Mehrere herrschende Unternehmen eines Betreibers haften gemeinsam als Gesamtschuldner.</w:t>
      </w:r>
    </w:p>
    <w:p>
      <w:r>
        <w:rPr>
          <w:color w:val="555555"/>
          <w:sz w:val="17"/>
        </w:rPr>
        <w:t xml:space="preserve">Zitiervorschlag: § 1 NachhG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