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NW_34591 (Nordrhein-Westfalen)</w:t>
      </w:r>
    </w:p>
    <w:p>
      <w:r>
        <w:rPr>
          <w:color w:val="555555"/>
          <w:sz w:val="18"/>
        </w:rPr>
        <w:t xml:space="preserve">AG TierGesR TierNebR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Juni 2026</w:t>
      </w:r>
    </w:p>
    <w:p>
      <w:r>
        <w:t xml:space="preserve">(Artikel 2 des Gesetzes vom 22. Juni 2026 (GV. NRW. S. 404))</w:t>
      </w:r>
    </w:p>
    <w:p>
      <w:r>
        <w:rPr>
          <w:color w:val="555555"/>
          <w:sz w:val="17"/>
        </w:rPr>
        <w:t xml:space="preserve">Zitiervorschlag: Eingangsformel NW_34591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https://recht.nulegal.eu/gesetze/NW_34591/eingangsformel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