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NW_34591 (Nordrhein-Westfalen) — Beihilfen</w:t>
      </w:r>
    </w:p>
    <w:p>
      <w:r>
        <w:rPr>
          <w:color w:val="555555"/>
          <w:sz w:val="18"/>
        </w:rPr>
        <w:t xml:space="preserve">AG TierGesR TierNebR 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Tierseuchenkasse kann Beihilfen gewähren für</w:t>
      </w:r>
    </w:p>
    <w:p>
      <w:r>
        <w:t xml:space="preserve">1. Tierverluste, die aus Anlass von Tierseuchen oder seuchenähnlich verlaufenden Tierkrankheiten erwachsen,</w:t>
      </w:r>
    </w:p>
    <w:p>
      <w:r>
        <w:t xml:space="preserve">2. die Ausmerzung seuchenkranker, einer Seuche verdächtiger oder der Ansteckung verdächtiger Tiere,</w:t>
      </w:r>
    </w:p>
    <w:p>
      <w:r>
        <w:t xml:space="preserve">3. wirtschaftliche Schäden, die den Unternehmern durch zur Bekämpfung von Tierseuchen angeordnete Maßnahmen entstanden sind, sofern die Kosten für diese Maßnahmen durch die Europäische Kommission kofinanziert werden,</w:t>
      </w:r>
    </w:p>
    <w:p>
      <w:r>
        <w:t xml:space="preserve">4. Impfungen und Maßnahmen diagnostischer Art,</w:t>
      </w:r>
    </w:p>
    <w:p>
      <w:r>
        <w:t xml:space="preserve">5. Maßnahmen zur Schaffung von Strukturen, die das Risiko von Seucheneinschleppungen und -ausbrüchen minimieren,</w:t>
      </w:r>
    </w:p>
    <w:p>
      <w:r>
        <w:t xml:space="preserve">6. die Beseitigung von tierischen Nebenprodukten,</w:t>
      </w:r>
    </w:p>
    <w:p>
      <w:r>
        <w:t xml:space="preserve">7. die Durchführung sonstiger Maßnahmen, die der Vorsorge, der Bekämpfung und der Nachsorge im Zusammenhang mit Tierseuchen dienen,</w:t>
      </w:r>
    </w:p>
    <w:p>
      <w:r>
        <w:t xml:space="preserve">8. Ausgaben, für die nach der Verordnung (EU) 2021/690 eine Finanzhilfe der Europäischen Union gewährt wird, oder</w:t>
      </w:r>
    </w:p>
    <w:p>
      <w:r>
        <w:t xml:space="preserve">9. Forschungsvorhaben, die der Feststellung, Bekämpfung oder der Verhütung von Tierseuchen oder seuchenartigen Erkrankungen dienen.</w:t>
      </w:r>
    </w:p>
    <w:p>
      <w:r>
        <w:t xml:space="preserve">Soweit im Zusammenhang mit Maßnahmen nach Satz 1 Untersuchungen von Proben durchgeführt werden, sind die Kosten dafür nur beihilfefähig, wenn die Untersuchungen in einer Untersuchungsanstalt gemäß § 4 Absatz 1 des Gesetzes zur Bildung integrierter Untersuchungsanstalten für Bereiche des Verbraucherschutzes vom 11. Dezember 2007 (GV. NRW. S. 662) in der jeweils geltenden Fassung durchgeführt worden sind. Die in § 32 Absatz 3 genannten Voraussetzungen für die Gewährung von Beihilfen gelten entsprechend.</w:t>
      </w:r>
    </w:p>
    <w:p>
      <w:r>
        <w:t xml:space="preserve">(2) Beihilfen sind nicht zu gewähren</w:t>
      </w:r>
    </w:p>
    <w:p>
      <w:r>
        <w:t xml:space="preserve">1. wenn und soweit das Tiergesundheitsgesetz eine Entschädigung vorsieht oder durch besondere Vorschrift ausschließt oder versagt, oder</w:t>
      </w:r>
    </w:p>
    <w:p>
      <w:r>
        <w:t xml:space="preserve">2. für Tiere, die sich zum Zeitpunkt des Todes, der Anordnung der Tötung, der Impfung oder der Maßnahme diagnostischer Art nicht im Geltungsbereich dieses Gesetzes befunden haben. Satz 1 Nummer 2 gilt nicht für Tiere, die allein zum Zweck der Schlachtung aus dem Geltungsbereich dieses Gesetzes verbracht wurden.</w:t>
      </w:r>
    </w:p>
    <w:p>
      <w:r>
        <w:rPr>
          <w:color w:val="555555"/>
          <w:sz w:val="17"/>
        </w:rPr>
        <w:t xml:space="preserve">Zitiervorschlag: § 7 NW_34591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https://recht.nulegal.eu/gesetze/NW_34591/7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