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NW_34591 (Nordrhein-Westfalen) — Einzugsbereiche, Verordnungsermächtigung</w:t>
      </w:r>
    </w:p>
    <w:p>
      <w:r>
        <w:rPr>
          <w:color w:val="555555"/>
          <w:sz w:val="18"/>
        </w:rPr>
        <w:t xml:space="preserve">AG TierGesR TierNebR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für die Verarbeitung und Beseitigung von nicht für den menschlichen Verzehr bestimmten tierischen Nebenprodukten zuständige Ministerium wird ermächtigt, durch Rechtsverordnung</w:t>
      </w:r>
    </w:p>
    <w:p>
      <w:r>
        <w:t xml:space="preserve">1. Einzugsbereiche nach § 6 Absatz 1 des Tierische Nebenprodukte-Beseitigungsgesetzes zu bestimmen sowie</w:t>
      </w:r>
    </w:p>
    <w:p>
      <w:r>
        <w:t xml:space="preserve">2. zu bestimmen, dass das in § 3 Absatz 1 Satz 1 des Tierische Nebenprodukte-Beseitigungsgesetzes bezeichnete Material auch außerhalb der nach Nummer 1 bestimmten Einzugsbereiche in Verarbeitungsbetrieben, Verbrennungsanlagen oder Mitverbrennungsanlagen behandelt, verarbeitet oder beseitigt werden darf.</w:t>
      </w:r>
    </w:p>
    <w:p>
      <w:r>
        <w:t xml:space="preserve">(2) Geht eine Maßnahme nach Absatz 1 über die Sozialbindung des Eigentums gemäß Artikel 14 Absatz 2 des Grundgesetzes hinaus, so ist eine Entschädigung in Geld zu leisten. Die Vorschriften des Dritten und Vierten Teils des Landesenteignungs- und -entschädigungsgesetzes vom 20. Juni 1989 (GV. NRW. S. 366, ber. S. 570) in der jeweils geltenden Fassung sind entsprechend anzuwenden.</w:t>
      </w:r>
    </w:p>
    <w:p>
      <w:r>
        <w:rPr>
          <w:color w:val="555555"/>
          <w:sz w:val="17"/>
        </w:rPr>
        <w:t xml:space="preserve">Zitiervorschlag: § 30 NW_34591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https://recht.nulegal.eu/gesetze/NW_34591/30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