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2d NW_34591 (Nordrhein-Westfalen) — Verordnungsermächtigung zu finanziellen Ausgleichsregelungen</w:t>
      </w:r>
    </w:p>
    <w:p>
      <w:r>
        <w:rPr>
          <w:color w:val="555555"/>
          <w:sz w:val="18"/>
        </w:rPr>
        <w:t xml:space="preserve">AG TierGesR TierNebR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Forsten zuständige Ministerium wird ermächtigt, durch Rechtsverordnung Folgendes festzulegen:</w:t>
      </w:r>
    </w:p>
    <w:p>
      <w:r>
        <w:t xml:space="preserve">1. den gemäß § 2b Absatz 3 Satz 4 als Ersatz des Verdienstausfalls zu zahlenden Regelstundensatz,</w:t>
      </w:r>
    </w:p>
    <w:p>
      <w:r>
        <w:t xml:space="preserve">2. die Einzelheiten zur Ermittlung der Verdienstausfallpauschale je Stunde gemäß § 2b Absatz 3 Satz 5,</w:t>
      </w:r>
    </w:p>
    <w:p>
      <w:r>
        <w:t xml:space="preserve">3. den Höchstbetrag, der bei dem Ersatz des Verdienstausfalls je Stunde gemäß § 2b Absatz 3 Satz 6 nicht überschritten werden darf,</w:t>
      </w:r>
    </w:p>
    <w:p>
      <w:r>
        <w:t xml:space="preserve">4. Umfang und Höhe des Auslagenersatzes gemäß § 2c Absatz 1 Satz 1 sowie</w:t>
      </w:r>
    </w:p>
    <w:p>
      <w:r>
        <w:t xml:space="preserve">5. die Höhe der pauschalen Aufwandsentschädigung gemäß § 2c Absatz 1 Satz 2 in Abhängigkeit von der konkreten Art des zu entschädigenden Einsatzes.</w:t>
      </w:r>
    </w:p>
    <w:p>
      <w:r>
        <w:t xml:space="preserve">In einer Rechtsverordnung nach Satz 1 kann ferner bestimmt werden, dass Suchhundeführer, die nicht erwerbstätig sind, für jeden Einsatz eine Pauschale erhalten, die zusätzlich zu der pauschalen Aufwandsentschädigung nach § 2c Absatz 1 Satz 2 gezahlt wird.</w:t>
      </w:r>
    </w:p>
    <w:p>
      <w:r>
        <w:rPr>
          <w:color w:val="555555"/>
          <w:sz w:val="17"/>
        </w:rPr>
        <w:t xml:space="preserve">Zitiervorschlag: § 2d NW_34591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https://recht.nulegal.eu/gesetze/NW_34591/2d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