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NW_34591 (Nordrhein-Westfalen) — Verfahrensvorschriften</w:t>
      </w:r>
    </w:p>
    <w:p>
      <w:r>
        <w:rPr>
          <w:color w:val="555555"/>
          <w:sz w:val="18"/>
        </w:rPr>
        <w:t xml:space="preserve">AG TierGesR TierNebR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Vor der Ausschreibung zur Beauftragung Dritter gemäß § 3 Absatz 1 Satz 4 des Tierische Nebenprodukte-Beseitigungsgesetzes oder einer Übertragung der Beseitigungspflicht auf eine natürliche oder juristische Person des Privatrechts gemäß § 3 Absatz 3 des Tierische Nebenprodukte-Beseitigungsgesetzes ist das Landesamt zu dem Entwurf einer Leistungsbeschreibung oder einem vergleichbaren Vertragsentwurf anzuhören.</w:t>
      </w:r>
    </w:p>
    <w:p>
      <w:r>
        <w:t xml:space="preserve">(2) In den Ausschreibungen ist insbesondere</w:t>
      </w:r>
    </w:p>
    <w:p>
      <w:r>
        <w:t xml:space="preserve">1. festzulegen, dass Verarbeitungsbetriebe eine Sektions- und Kühlmöglichkeit für Kadaver oder Kadaverteile vorzuhalten haben,</w:t>
      </w:r>
    </w:p>
    <w:p>
      <w:r>
        <w:t xml:space="preserve">2. auf die Möglichkeit der zuständigen Behörde zu verweisen, gemäß § 4 Absatz 2 des Tierische Nebenprodukte-Beseitigungsgesetzes bei Equiden eine Ausnahme von der Beseitigungspflicht zu genehmigen,</w:t>
      </w:r>
    </w:p>
    <w:p>
      <w:r>
        <w:t xml:space="preserve">3. aufzunehmen, dass zur Vermeidung von Risiken hinsichtlich der Verbreitung von Tierseuchen die Transportwege möglichst kurz zu halten sind, und</w:t>
      </w:r>
    </w:p>
    <w:p>
      <w:r>
        <w:t xml:space="preserve">4. zu regeln, welche Tätigkeiten von einer Ausschreibung zur Beauftragung Dritter oder einer Übertragung der Beseitigungspflicht ausgenommen sind.</w:t>
      </w:r>
    </w:p>
    <w:p>
      <w:r>
        <w:t xml:space="preserve">(3) Sofern das Land Rahmenvereinbarungen abschließt, die Regelungen zur Beseitigung oder zu Entgelten für Beseitigungsleistungen im Seuchenfall enthalten, sind diese Bestandteil der Ausschreibung.</w:t>
      </w:r>
    </w:p>
    <w:p>
      <w:r>
        <w:t xml:space="preserve">(4) Nach § 3 Absatz 1 Satz 4 des Tierische Nebenprodukte-Beseitigungsgesetzes beauftragte Dritte und natürliche oder juristische Personen des Privatrechts, denen gemäß § 3 Absatz 3 des Tierische Nebenprodukte-Beseitigungsgesetzes die Beseitigungspflicht übertragen ist, haben den zuständigen Behörden mindestens einmal jährlich eine Auflistung der in ihrem Zuständigkeitsbereich anfallenden Tierkörper von Falltieren, aufgeschlüsselt nach Tierart, Gewichts- und Altersklasse sowie Herkunftsbetrieb, vorzulegen.</w:t>
      </w:r>
    </w:p>
    <w:p>
      <w:r>
        <w:t xml:space="preserve">(5) Die zuständigen Behörden haben sich bei der maschinentechnischen Überwachung der Anlagen zur Beseitigung des überlassungspflichtigen Materials einer oder eines Sachverständigen des Landes oder eines vom Land beliehenen Unternehmens zu bedienen.</w:t>
      </w:r>
    </w:p>
    <w:p>
      <w:r>
        <w:t xml:space="preserve">(6) Die nach § 5 des Tierische Nebenprodukte-Beseitigungsgesetzes zu entnehmenden Proben sind in staatlichen Untersuchungseinrichtungen oder in integrierten Untersuchungsanstalten oder unter deren Aufsicht zu untersuchen.</w:t>
      </w:r>
    </w:p>
    <w:p>
      <w:r>
        <w:rPr>
          <w:color w:val="555555"/>
          <w:sz w:val="17"/>
        </w:rPr>
        <w:t xml:space="preserve">Zitiervorschlag: § 29 NW_34591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https://recht.nulegal.eu/gesetze/NW_34591/29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