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NW_34591 (Nordrhein-Westfalen) — Verordnungsermächtigungen</w:t>
      </w:r>
    </w:p>
    <w:p>
      <w:r>
        <w:rPr>
          <w:color w:val="555555"/>
          <w:sz w:val="18"/>
        </w:rPr>
        <w:t xml:space="preserve">AG TierGesR TierNebR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Ministerium wird ermächtigt, im Benehmen mit dem Verwaltungsrat durch Rechtsverordnung</w:t>
      </w:r>
    </w:p>
    <w:p>
      <w:r>
        <w:t xml:space="preserve">1. die Beitragspflicht zur Tierseuchenkasse über § 13 Absatz 1 hinaus auf weitere Tierarten, die für eine anzeigepflichtige Tierseuche empfänglich sind, zu erstrecken,</w:t>
      </w:r>
    </w:p>
    <w:p>
      <w:r>
        <w:t xml:space="preserve">2. die Höhe des Beitragssatzes für ein Tier, einen Bestand oder ein Bienenvolk zu bestimmen,</w:t>
      </w:r>
    </w:p>
    <w:p>
      <w:r>
        <w:t xml:space="preserve">3. festzulegen, auf welche Umstände, Gegebenheiten und Sachverhalte der Beitragssatz zu beziehen ist,</w:t>
      </w:r>
    </w:p>
    <w:p>
      <w:r>
        <w:t xml:space="preserve">4. Näheres oder Ergänzendes über das Verfahren und die Art und Weise der Meldepflicht des § 14 zu regeln sowie Ausnahmen davon zu bestimmen,</w:t>
      </w:r>
    </w:p>
    <w:p>
      <w:r>
        <w:t xml:space="preserve">5. Abweichendes oder Ergänzendes zur Stichtagsregelung des § 13 Absatz 3 zu bestimmen, soweit</w:t>
      </w:r>
    </w:p>
    <w:p>
      <w:r>
        <w:t xml:space="preserve">a) sich bei einem Unternehmer der Bestand an Tieren einer Tierart nach dem Stichtag innerhalb des Erhebungszeitraumes um mindestens 10 Prozent ändert,</w:t>
      </w:r>
    </w:p>
    <w:p>
      <w:r>
        <w:t xml:space="preserve">b) die Haltung einer am Stichtag nicht gehaltenen Tierart aufgenommen wird oder</w:t>
      </w:r>
    </w:p>
    <w:p>
      <w:r>
        <w:t xml:space="preserve">c) bei landwirtschaftlichen Betriebsformen die Tierbestandszahlen innerhalb des Erhebungszeitraumes regelmäßig wechseln,</w:t>
      </w:r>
    </w:p>
    <w:p>
      <w:r>
        <w:t xml:space="preserve">6. Einzelheiten über die Festsetzung, Erhebung, Fälligkeit und Einziehung von Beiträgen zu regeln,</w:t>
      </w:r>
    </w:p>
    <w:p>
      <w:r>
        <w:t xml:space="preserve">7. Näheres zu regeln über die Höhe, Festsetzung und Gewährung von Beihilfen und sonstigen finanziellen Unterstützungen sowie über die Höhe, Ansammlung und Verwaltung von Rücklagen sowie</w:t>
      </w:r>
    </w:p>
    <w:p>
      <w:r>
        <w:t xml:space="preserve">8. Näheres zu regeln über die Tierwertermittlung und die Dokumentation der Tierwertermittlung.</w:t>
      </w:r>
    </w:p>
    <w:p>
      <w:r>
        <w:t xml:space="preserve">(2) Das Ministerium wird ferner ermächtigt, durch Rechtsverordnung</w:t>
      </w:r>
    </w:p>
    <w:p>
      <w:r>
        <w:t xml:space="preserve">1. abweichend von § 15 zur Vereinfachung des Verfahrens zu bestimmen, in welchen Fällen</w:t>
      </w:r>
    </w:p>
    <w:p>
      <w:r>
        <w:t xml:space="preserve">a) eine Untersuchung vor dem Tod des Tieres als ausreichend anzusehen ist,</w:t>
      </w:r>
    </w:p>
    <w:p>
      <w:r>
        <w:t xml:space="preserve">b) eine Untersuchung auf einzelne Tiere eines Bestandes beschränkt werden kann oder</w:t>
      </w:r>
    </w:p>
    <w:p>
      <w:r>
        <w:t xml:space="preserve">c) auf die Untersuchung verdächtiger Tiere verzichtet werden kann, wenn hierdurch Nachteile für den Unternehmer nicht zu erwarten sind, sowie</w:t>
      </w:r>
    </w:p>
    <w:p>
      <w:r>
        <w:t xml:space="preserve">2. die Höhe der Vergütung für die Tätigkeit der Personen, die die Tierwertermittlung durchführen, festzusetzen.</w:t>
      </w:r>
    </w:p>
    <w:p>
      <w:r>
        <w:rPr>
          <w:color w:val="555555"/>
          <w:sz w:val="17"/>
        </w:rPr>
        <w:t xml:space="preserve">Zitiervorschlag: § 27 NW_34591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https://recht.nulegal.eu/gesetze/NW_34591/27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NW_34591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