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NW_34591 (Nordrhein-Westfalen) — Einnahmen</w:t>
      </w:r>
    </w:p>
    <w:p>
      <w:r>
        <w:rPr>
          <w:color w:val="555555"/>
          <w:sz w:val="18"/>
        </w:rPr>
        <w:t xml:space="preserve">AG TierGesR TierNebR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Einnahmen der Tierseuchenkasse bestehen insbesondere aus</w:t>
      </w:r>
    </w:p>
    <w:p>
      <w:r>
        <w:t xml:space="preserve">1. den Beiträgen der Unternehmer, den Gebühren und anderen Entgelten,</w:t>
      </w:r>
    </w:p>
    <w:p>
      <w:r>
        <w:t xml:space="preserve">2. dem Ertrag aus den angelegten Mitteln und Rücklagen,</w:t>
      </w:r>
    </w:p>
    <w:p>
      <w:r>
        <w:t xml:space="preserve">3. den Erstattungen durch das Land nach § 6 Absatz 2 Satz 3 sowie</w:t>
      </w:r>
    </w:p>
    <w:p>
      <w:r>
        <w:t xml:space="preserve">4. den Einnahmen aus kofinanzierten Maßnahmen gemäß § 7 Absatz 1 Satz 1 Nummer 8.</w:t>
      </w:r>
    </w:p>
    <w:p>
      <w:r>
        <w:t xml:space="preserve">(2) Aus den Beiträgen für eine Tierart dürfen nur Ausgaben für die Tiere dieser Tierart gedeckt werden. Dies gilt nicht für Ausgaben, die erstattet werden oder Verwaltungskosten betreffen.</w:t>
      </w:r>
    </w:p>
    <w:p>
      <w:r>
        <w:rPr>
          <w:color w:val="555555"/>
          <w:sz w:val="17"/>
        </w:rPr>
        <w:t xml:space="preserve">Zitiervorschlag: § 12 NW_34591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https://recht.nulegal.eu/gesetze/NW_34591/12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