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NW_34591 (Nordrhein-Westfalen) — Wirtschaftsführung</w:t>
      </w:r>
    </w:p>
    <w:p>
      <w:r>
        <w:rPr>
          <w:color w:val="555555"/>
          <w:sz w:val="18"/>
        </w:rPr>
        <w:t xml:space="preserve">AG TierGesR TierNebR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Haushalts- und Wirtschaftsführung der Tierseuchenkasse gelten die Grundsätze der Landeshaushaltsordnung in der Fassung der Bekanntmachung vom 26. April 1999 (GV. NRW. S. 158) in der jeweils geltenden Fassung entsprechend.</w:t>
      </w:r>
    </w:p>
    <w:p>
      <w:r>
        <w:t xml:space="preserve">(2) Die Beilage zum Haushaltsplan der Landwirtschaftskammer über das Sondervermögen Tierseuchenkasse bedarf der Zustimmung des Ministeriums.</w:t>
      </w:r>
    </w:p>
    <w:p>
      <w:r>
        <w:t xml:space="preserve">(3) Die Tierseuchenkasse hat aus ihren Einnahmen Rücklagen in angemessenem Umfang zu bilden.</w:t>
      </w:r>
    </w:p>
    <w:p>
      <w:r>
        <w:rPr>
          <w:color w:val="555555"/>
          <w:sz w:val="17"/>
        </w:rPr>
        <w:t xml:space="preserve">Zitiervorschlag: § 11 NW_34591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https://recht.nulegal.eu/gesetze/NW_34591/11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