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NW_34591 (Nordrhein-Westfalen) — Geschäftsführung</w:t>
      </w:r>
    </w:p>
    <w:p>
      <w:r>
        <w:rPr>
          <w:color w:val="555555"/>
          <w:sz w:val="18"/>
        </w:rPr>
        <w:t xml:space="preserve">AG TierGesR TierNebR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Geschäftsführung führt die Geschäfte der laufenden Verwaltung der Tierseuchenkasse.</w:t>
      </w:r>
    </w:p>
    <w:p>
      <w:r>
        <w:t xml:space="preserve">(2) Die Geschäftsführung bereitet die Beschlüsse des Verwaltungsrates vor und führt dessen Beschlüsse aus. Sie entscheidet in Angelegenheiten, die ihr vom Verwaltungsrat zur Entscheidung übertragen sind.</w:t>
      </w:r>
    </w:p>
    <w:p>
      <w:r>
        <w:t xml:space="preserve">(3) Die Geschäftsführung hat den Verwaltungsrat über alle wichtigen Angelegenheiten der Tierseuchenkasse zu unterrichten.</w:t>
      </w:r>
    </w:p>
    <w:p>
      <w:r>
        <w:rPr>
          <w:color w:val="555555"/>
          <w:sz w:val="17"/>
        </w:rPr>
        <w:t xml:space="preserve">Zitiervorschlag: § 10 NW_34591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https://recht.nulegal.eu/gesetze/NW_34591/10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