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NW_34556 (Nordrhein-Westfalen)</w:t>
      </w:r>
    </w:p>
    <w:p>
      <w:r>
        <w:rPr>
          <w:color w:val="555555"/>
          <w:sz w:val="18"/>
        </w:rPr>
        <w:t xml:space="preserve">Verordnung zur Aufgabenübertragung im Bereich der Denkmalpflege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März 2026</w:t>
      </w:r>
    </w:p>
    <w:p>
      <w:r>
        <w:t xml:space="preserve">Das Ministerium für Heimat, Kommunales, Bau und Digitalisierung verordnet aufgrund des § 40 Satz 1 und § 42 Absatz 1 des Denkmalschutzgesetzesvom 13. April 2022 (GV. NRW. S. 662):</w:t>
      </w:r>
    </w:p>
    <w:p>
      <w:r>
        <w:rPr>
          <w:color w:val="555555"/>
          <w:sz w:val="17"/>
        </w:rPr>
        <w:t xml:space="preserve">Zitiervorschlag: Eingangsformel NW_34556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https://recht.nulegal.eu/gesetze/NW_34556/eingangsformel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