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NW_34556 (Nordrhein-Westfalen) — Inkrafttreten</w:t>
      </w:r>
    </w:p>
    <w:p>
      <w:r>
        <w:rPr>
          <w:color w:val="555555"/>
          <w:sz w:val="18"/>
        </w:rPr>
        <w:t xml:space="preserve">Verordnung zur Aufgabenübertragung im Bereich der Denkmalpflege im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3 NW_34556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https://recht.nulegal.eu/gesetze/NW_34556/3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