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NW_34556 (Nordrhein-Westfalen) — Übergangsregelung</w:t>
      </w:r>
    </w:p>
    <w:p>
      <w:r>
        <w:rPr>
          <w:color w:val="555555"/>
          <w:sz w:val="18"/>
        </w:rPr>
        <w:t xml:space="preserve">Verordnung zur Aufgabenübertragung im Bereich der Denkmalpflege im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vor dem Inkrafttreten dieser Rechtsverordnung eingeleiteten Verfahren sind nach dem zum Zeitpunkt der Antragstellung geltenden Verfahren fortzuführen und abzuschließen. Abweichend von Satz 1 kann die Eigentümerin oder der Eigentümer sowie die sonstigen Nutzungsberechtigten eines Denkmals die Anwendung dieser Rechtsverordnung anstelle des zur Zeit der Antragstellung geltenden Rechts beantragen.</w:t>
      </w:r>
    </w:p>
    <w:p>
      <w:r>
        <w:rPr>
          <w:color w:val="555555"/>
          <w:sz w:val="17"/>
        </w:rPr>
        <w:t xml:space="preserve">Zitiervorschlag: § 2 NW_34556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https://recht.nulegal.eu/gesetze/NW_34556/2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