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NW_34524 (Nordrhein-Westfalen)</w:t>
      </w:r>
    </w:p>
    <w:p>
      <w:r>
        <w:rPr>
          <w:color w:val="555555"/>
          <w:sz w:val="18"/>
        </w:rPr>
        <w:t xml:space="preserve">Verordnung über die Festsetzung der Umlage der Landwirtschaftskammer Nordrhein-Westfalen für das Haushaltsjahr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Januar 2026</w:t>
      </w:r>
    </w:p>
    <w:p>
      <w:r>
        <w:t xml:space="preserve">Das Ministerium für Landwirtschaft und Verbraucherschutz verordnet aufgrund des § 2 Absatz 1 des Umlagegesetzes vom 29. Oktober 2024 (GV. NRW. S. 700):</w:t>
      </w:r>
    </w:p>
    <w:p>
      <w:r>
        <w:rPr>
          <w:color w:val="555555"/>
          <w:sz w:val="17"/>
        </w:rPr>
        <w:t xml:space="preserve">Zitiervorschlag: Eingangsformel NW_34524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