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NW_34524 (Nordrhein-Westfalen) — Höhe der Umlage</w:t>
      </w:r>
    </w:p>
    <w:p>
      <w:r>
        <w:rPr>
          <w:color w:val="555555"/>
          <w:sz w:val="18"/>
        </w:rPr>
        <w:t xml:space="preserve">Verordnung über die Festsetzung der Umlage der Landwirtschaftskammer Nordrhein-Westfalen für das Haushaltsjahr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Landwirtschaftskammer Nordrhein-Westfalen wird die Umlage für das Haushaltsjahr 2026 entsprechend dem Beschluss der Hauptversammlung der Landwirtschaftskammer vom 12. Dezember 2025 auf 1,6 Euro pro 1 000 Euro Grundsteuerwert festgesetzt.</w:t>
      </w:r>
    </w:p>
    <w:p>
      <w:r>
        <w:rPr>
          <w:color w:val="555555"/>
          <w:sz w:val="17"/>
        </w:rPr>
        <w:t xml:space="preserve">Zitiervorschlag: § 1 NW_34524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https://recht.nulegal.eu/gesetze/NW_34524/1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