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NW_34517 (Nordrhein-Westfalen) — Anspruch auf die Wahl einer anderen Berufsbezeichnung</w:t>
      </w:r>
    </w:p>
    <w:p>
      <w:r>
        <w:rPr>
          <w:color w:val="555555"/>
          <w:sz w:val="18"/>
        </w:rPr>
        <w:t xml:space="preserve">APOHygKontr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Statt der Berufsbezeichnung „Hygienekontrolleurin“ oder „Hygienekontrolleur“ kann die Berufsbezeichnung „Hygienekontrollperson“ geführt werden.</w:t>
      </w:r>
    </w:p>
    <w:p>
      <w:r>
        <w:rPr>
          <w:color w:val="555555"/>
          <w:sz w:val="17"/>
        </w:rPr>
        <w:t xml:space="preserve">Zitiervorschlag: § 34 NW_34517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https://recht.nulegal.eu/gesetze/NW_34517/34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