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NW_34517 (Nordrhein-Westfalen) — Gleichwertige Ausbildungen</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einem anderen Bundesland erteilte Erlaubnis zum Führen der Berufsbezeichnung gilt auch in Nordrhein-Westfalen.</w:t>
      </w:r>
    </w:p>
    <w:p>
      <w:r>
        <w:t xml:space="preserve">(2) Eine außerhalb der Bundesrepublik Deutschland erfolgreich abgeschlossene Ausbildung wird anerkannt, wenn die Gleichwertigkeit des Ausbildungsstandes oder des Kenntnisstandes nachgewiesen wurde. Das Nähere regelt das Berufsqualifikationsfeststellungsgesetz NRW vom 28. Mai 2013 (GV. NRW. S. 272) in der jeweils geltenden Fassung.</w:t>
      </w:r>
    </w:p>
    <w:p>
      <w:r>
        <w:t xml:space="preserve">(3) Personen, die eine Anerkennung nach Absatz 2 besitzen, dürfen die im Herkunftsstaat zulässige Ausbildungsbezeichnung und deren Abkürzung in der Sprache dieses Staates führen.</w:t>
      </w:r>
    </w:p>
    <w:p>
      <w:r>
        <w:rPr>
          <w:color w:val="555555"/>
          <w:sz w:val="17"/>
        </w:rPr>
        <w:t xml:space="preserve">Zitiervorschlag: § 32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