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NW_34517 (Nordrhein-Westfalen) — Ordnungsverstöße und Täuschungsversuche</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Stört eine zu prüfende Person den ordnungsgemäßen Ablauf einer Prüfung in erheblichem Maße oder versucht sie oder er eine Täuschung, so kann die betreffende Prüfungsleistung mit der Note „ungenügend“ oder die ganze Prüfung als nicht bestanden bewertet werden. Die Entscheidung trifft der Prüfungsausschuss, bei Störungen oder Täuschungsversuchen außerhalb der mündlichen Prüfung die oder der Vorsitzende des Prüfungsausschusses nach Anhörung der aufsichtführenden Person. § 27 Absatz 3 gilt entsprechend.</w:t>
      </w:r>
    </w:p>
    <w:p>
      <w:r>
        <w:t xml:space="preserve">(2) Hat die zu prüfende Person bei der Prüfung getäuscht und wird diese Tatsache erst nach Aushändigung des Prüfungszeugnisses bekannt, so kann die oder der Vorsitzende des Prüfungsausschusses nachträglich innerhalb einer Frist von drei Jahren nach dem Tag der mündlichen Prüfung die Prüfung für nicht bestanden erklären.</w:t>
      </w:r>
    </w:p>
    <w:p>
      <w:r>
        <w:rPr>
          <w:color w:val="555555"/>
          <w:sz w:val="17"/>
        </w:rPr>
        <w:t xml:space="preserve">Zitiervorschlag: § 30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