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NW_34517 (Nordrhein-Westfalen) — Bewertung der Prüfungsleistungen</w:t>
      </w:r>
    </w:p>
    <w:p>
      <w:r>
        <w:rPr>
          <w:color w:val="555555"/>
          <w:sz w:val="18"/>
        </w:rPr>
        <w:t xml:space="preserve">APOHygKontr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Prüfungsausschuss trifft alle Entscheidungen über die Bewertung von Prüfungsleistungen. § 23 Absatz 4 Satz 2 und § 30 Absatz 1 Satz 2, 2. Alternative bleiben unberührt. Die einzelnen Prüfungsleistungen im schriftlichen und mündlichen Teil der Prüfung sind jeweils mit einer der folgenden Noten zu bewerten:</w:t>
      </w:r>
    </w:p>
    <w:p>
      <w:r>
        <w:t xml:space="preserve">„1“ (sehr gut), wenn die Leistung den Anforderungen in besonderem Maße entspricht,</w:t>
      </w:r>
    </w:p>
    <w:p>
      <w:r>
        <w:t xml:space="preserve">„2“ (gut), wenn die Leistung den Anforderungen voll entspricht,</w:t>
      </w:r>
    </w:p>
    <w:p>
      <w:r>
        <w:t xml:space="preserve">„3“ (befriedigend), wenn die Leistung im Allgemeinen den Anforderungen entspricht,</w:t>
      </w:r>
    </w:p>
    <w:p>
      <w:r>
        <w:t xml:space="preserve">„4“ (ausreichend), wenn die Leistung zwar Mängel aufweist, aber im Ganzen den Anforderungen noch entspricht,</w:t>
      </w:r>
    </w:p>
    <w:p>
      <w:r>
        <w:t xml:space="preserve">„5“ (mangelhaft), wenn die Leistung den Anforderungen nicht entspricht, jedoch erkennen lässt, dass die notwendigen Grundkenntnisse vorhanden sind und die Mängel in absehbarer Zeit behoben werden können oder</w:t>
      </w:r>
    </w:p>
    <w:p>
      <w:r>
        <w:t xml:space="preserve">„6“ (ungenügend), wenn die Leistung den Anforderungen nicht entspricht und selbst die Grundkenntnisse so lückenhaft sind, dass die Mängel in absehbarer Zeit nicht behoben werden können.</w:t>
      </w:r>
    </w:p>
    <w:p>
      <w:r>
        <w:t xml:space="preserve">(2) Aus den Einzelnoten der Prüfungsleistungen wird jeweils für den schriftlichen und mündlichen Prüfungsteil eine Durchschnittsnote als Gesamtnote des jeweiligen Prüfungsteils gebildet. Dabei lautet die Note</w:t>
      </w:r>
    </w:p>
    <w:p>
      <w:r>
        <w:t xml:space="preserve">„sehr gut“ bei Werten kleiner als 1,5,</w:t>
      </w:r>
    </w:p>
    <w:p>
      <w:r>
        <w:t xml:space="preserve">„gut“ bei Werten von 1,5 bis kleiner als 2,5,</w:t>
      </w:r>
    </w:p>
    <w:p>
      <w:r>
        <w:t xml:space="preserve">„befriedigend“ bei Werten von 2,5 bis kleiner als 3,5,</w:t>
      </w:r>
    </w:p>
    <w:p>
      <w:r>
        <w:t xml:space="preserve">„ausreichend“ bei Werten von 3,5 bis kleiner als 4,5,</w:t>
      </w:r>
    </w:p>
    <w:p>
      <w:r>
        <w:t xml:space="preserve">„mangelhaft“ bei Werten von 4,5 bis kleiner als 5,5 oder</w:t>
      </w:r>
    </w:p>
    <w:p>
      <w:r>
        <w:t xml:space="preserve">„ungenügend“ bei Werten ab 5,5.</w:t>
      </w:r>
    </w:p>
    <w:p>
      <w:r>
        <w:t xml:space="preserve">(3) Nach dem letzten Prüfungsteil stellt der Prüfungsausschuss das Abschlussergebnis der Prüfung fest. Die Abschlussnote ergibt sich, indem die Summe der Noten der drei schriftlichen Aufsichtsarbeiten gemäß § 23 Absatz 1 Satz 1 und 2 und der vier Prüfungsthemen des mündlichen Teils der Prüfung gemäß § 24 Absatz 2 Satz 1 sowie der Vornote aus dem theoretischen Ausbildungsteil und der doppelt gewichteten Vornote aus dem praktischen Ausbildungsteil durch zehn geteilt wird. Aus dem Quotienten ist die Abschlussnote entsprechend Absatz 2 Satz 2 zu ermitteln.</w:t>
      </w:r>
    </w:p>
    <w:p>
      <w:r>
        <w:rPr>
          <w:color w:val="555555"/>
          <w:sz w:val="17"/>
        </w:rPr>
        <w:t xml:space="preserve">Zitiervorschlag: § 26 NW_34517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https://recht.nulegal.eu/gesetze/NW_34517/26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