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NW_34508 (Nordrhein-Westfalen) — Haushaltswirtschaft der Gemeinden und Kreise</w:t>
      </w:r>
    </w:p>
    <w:p>
      <w:r>
        <w:rPr>
          <w:color w:val="555555"/>
          <w:sz w:val="18"/>
        </w:rPr>
        <w:t xml:space="preserve">NRW-Infrastrukturgesetz 2025 bis 2036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Gemeinden und Kreise, die sich bei Beginn des Haushaltsjahres in der vorläufigen Haushaltsführung nach § 82 der Gemeindeordnung für das Land Nordrhein-Westfalen in der Fassung der Bekanntmachung vom 14. Juli 1994 (GV. NRW. S. 666) in der jeweils geltenden Fassung befinden, gilt bis zum Inkrafttreten der jeweiligen Haushaltssatzung Folgendes:</w:t>
      </w:r>
    </w:p>
    <w:p>
      <w:r>
        <w:t xml:space="preserve">1. Für Aufwendungen und Auszahlungen für Sachinvestitionen, die aus den nach diesem Gesetz bereitgestellten Investitionsmitteln sowie gegebenenfalls aus ergänzenden, auf die Sachinvestition bezogenen Fördermitteln finanziert werden, findet § 82 der Gemeindeordnung für das Land Nordrhein-Westfalen keine Anwendung.</w:t>
      </w:r>
    </w:p>
    <w:p>
      <w:r>
        <w:t xml:space="preserve">2. Soweit Aufwendungen und Auszahlungen nach Nummer 1 ergänzend aus Eigenmitteln der Gemeinde oder des Kreises finanziert werden, findet § 82 der Gemeindeordnung für das Land Nordrhein-Westfalen für diese unter der Voraussetzung keine Anwendung, dass die vorherige Zustimmung der zuständigen Kommunalvertretung vorliegt.</w:t>
      </w:r>
    </w:p>
    <w:p>
      <w:r>
        <w:t xml:space="preserve">(2) Die Folgekosten von nach diesem Gesetz geförderten Investitionsmaßnahmen sollen den Zielen der Haushaltssicherung nicht entgegenstehen. § 76 Absatz 3 der Gemeindeordnung für das Land Nordrhein-Westfalen bleibt unberührt.</w:t>
      </w:r>
    </w:p>
    <w:p>
      <w:r>
        <w:rPr>
          <w:color w:val="555555"/>
          <w:sz w:val="17"/>
        </w:rPr>
        <w:t xml:space="preserve">Zitiervorschlag: § 9 NW_34508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https://recht.nulegal.eu/gesetze/NW_34508/9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