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NW_34508 (Nordrhein-Westfalen) — Investitionsmittelabruf, Sicherstellung der zweckentsprechenden Verwendung</w:t>
      </w:r>
    </w:p>
    <w:p>
      <w:r>
        <w:rPr>
          <w:color w:val="555555"/>
          <w:sz w:val="18"/>
        </w:rPr>
        <w:t xml:space="preserve">NRW-Infrastrukturgesetz 2025 bis 2036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und Kreise können im Förderzeitraum Mittel nach § 2 Absatz 2 bis zur Höhe der für sie nach diesem Gesetz bereit gestellten Investitionsmittel bei der nach § 10 Satz 1 örtlich zuständigen Bezirksregierung nach vorgegebenem Muster und nach Maßgabe des Absatzes 2 abrufen, die sie zur Begleichung fälliger Rechnungen innerhalb von drei Monaten benötigen. Die Gemeinden und Kreise rufen auch die Investitionsmittel für Maßnahmen anderer Träger ab; das Verhalten der anderen Träger wird den Gemeinden und den Kreisen zugerechnet.</w:t>
      </w:r>
    </w:p>
    <w:p>
      <w:r>
        <w:t xml:space="preserve">(2) Die Gemeinden und die Kreise tragen in ein digitales Verfahren nach vorgegebenem Muster ein:</w:t>
      </w:r>
    </w:p>
    <w:p>
      <w:r>
        <w:t xml:space="preserve">1. jährlich die geplanten, begonnenen und abgeschlossenen Investitionsvorhaben,</w:t>
      </w:r>
    </w:p>
    <w:p>
      <w:r>
        <w:t xml:space="preserve">2. bis zum 30. Juni eines jeden Jahres die Höhe der im kommenden Jahr und im Finanzplanungszeitraum voraussichtlich jährlich benötigten Haushaltsmittel, beginnend mit dem Stichtag 30. Juni 2026 und</w:t>
      </w:r>
    </w:p>
    <w:p>
      <w:r>
        <w:t xml:space="preserve">3. die voraussichtlich benötigten Finanzmittel gemäß den Allgemeinen Verwaltungsvorschriften zu § 43 der Bundeshaushaltsordnung vom 14. März 2001 (GMBl 2001 Nr. 16/17/18, S. 307) in der jeweils geltenden Fassung, beginnend mit dem Stichtag 1. Januar 2026.</w:t>
      </w:r>
    </w:p>
    <w:p>
      <w:r>
        <w:t xml:space="preserve">Die Eintragungen in das digitale System nach Satz 1 Nummer 1 sind zeitnah innerhalb von 10 Arbeitstagen zum Stichtag 1. Januar eines Jahres vorzunehmen. Die Meldungen nach Satz 1 Nummer 3 zu den benötigten Finanzmitteln sind so vorzunehmen, dass sie rechtzeitig in der Liquiditätsplanung des Bundes gemäß § 43 der Bundeshaushaltsordnung vom 19. August 1969 (BGBl. I S. 1284), die zuletzt durch Artikel 2 des Gesetzes vom 30. September 2025 (BGBl. 2025 I Nr. 231) geändert worden ist, berücksichtigt werden können.</w:t>
      </w:r>
    </w:p>
    <w:p>
      <w:r>
        <w:t xml:space="preserve">(3) Wenn eine Gemeinde oder ein Kreis von der angestrebten Verwendung des Förderbudgets nach § 2 Absatz 2 Satz 2 und 3 abweichen möchte, ist eine Erklärung der Hauptverwaltungsbeamtin oder des Hauptverwaltungsbeamten mit dem Inhalt, dass keine Notwendigkeit zur Vornahme der Investitionen in der entsprechenden Höhe besteht, gegenüber der Bezirksregierung abzugeben.</w:t>
      </w:r>
    </w:p>
    <w:p>
      <w:r>
        <w:t xml:space="preserve">(4) Nach Abschluss eines Investitionsvorhabens melden die Gemeinden und Kreise in einem digitalen Verfahren nach vorgegebenem Muster unverzüglich, spätestens nach 6 Monaten:</w:t>
      </w:r>
    </w:p>
    <w:p>
      <w:r>
        <w:t xml:space="preserve">1. den Träger einer Maßnahme,</w:t>
      </w:r>
    </w:p>
    <w:p>
      <w:r>
        <w:t xml:space="preserve">2. den Ort der Durchführung der Maßnahme,</w:t>
      </w:r>
    </w:p>
    <w:p>
      <w:r>
        <w:t xml:space="preserve">3. den Zeitpunkt des Beginns und des Endes der Maßnahme,</w:t>
      </w:r>
    </w:p>
    <w:p>
      <w:r>
        <w:t xml:space="preserve">4. eine Kurzbeschreibung über den Inhalt der Maßnahme,</w:t>
      </w:r>
    </w:p>
    <w:p>
      <w:r>
        <w:t xml:space="preserve">5. eine Zuordnung zu einem Infrastrukturbereich nach § 2 Absatz 2 und</w:t>
      </w:r>
    </w:p>
    <w:p>
      <w:r>
        <w:t xml:space="preserve">6. die Angaben zum Investitionsvolumen, zu den Finanzierungsbeiträgen Dritter, zu den förderfähigen Ausgaben und jeweils gesondert zur Höhe der verwendeten Bundesmittel nach dem Länder- und Kommunal-Infrastrukturfinanzierungsgesetz vom 20. Oktober 2025 (BGBl. 2025 I Nr. 246) sowie sonstiger Bundesmittel.</w:t>
      </w:r>
    </w:p>
    <w:p>
      <w:r>
        <w:t xml:space="preserve">Der Anzeige nach Satz 1 ist eine Bestätigung der Hauptverwaltungsbeamtin oder des Hauptverwaltungsbeamten beizufügen, dass die örtliche Rechnungsprüfung die zweckentsprechende Verwendung der Mittel bescheinigt hat. Diese Beendigungsanzeige gilt als Verwendungsnachweis.</w:t>
      </w:r>
    </w:p>
    <w:p>
      <w:r>
        <w:t xml:space="preserve">(5) Die nach § 10 Satz 1 örtlich zuständige Bezirksregierung prüft im Rahmen der Freigabe des Mittelabrufs, ob das Vorliegen der Voraussetzungen des § 2 Absatz 2 gegeben ist.</w:t>
      </w:r>
    </w:p>
    <w:p>
      <w:r>
        <w:t xml:space="preserve">(6) 5 Prozent der abgeschlossenen Sachinvestitionsmaßnahmen sind im Rahmen von Stichproben durch die Gemeindeprüfungsanstalt einer Prüfung zu unterziehen.</w:t>
      </w:r>
    </w:p>
    <w:p>
      <w:r>
        <w:rPr>
          <w:color w:val="555555"/>
          <w:sz w:val="17"/>
        </w:rPr>
        <w:t xml:space="preserve">Zitiervorschlag: § 11 NW_34508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https://recht.nulegal.eu/gesetze/NW_34508/11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