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NW_34506 (Nordrhein-Westfalen)</w:t>
      </w:r>
    </w:p>
    <w:p>
      <w:r>
        <w:rPr>
          <w:color w:val="555555"/>
          <w:sz w:val="18"/>
        </w:rPr>
        <w:t xml:space="preserve">Schülerinnen- und Schülerdatenverarbeitungsverordnung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10. Dezember 2025</w:t>
      </w:r>
    </w:p>
    <w:p>
      <w:r>
        <w:t xml:space="preserve">Auf Grund des § 1 Absatz 5 Satz 3 des Schülerinnen- und Schülerdatenübermittlungsgesetzes NRW vom 17. Oktober 2023 (GV. NRW. S. 1147), das durch Gesetz vom 10. Juli 2025 (GV. NRW. S. 684) geändert worden ist, verordnet das Ministerium für Arbeit, Gesundheit und Soziales:</w:t>
      </w:r>
    </w:p>
    <w:p>
      <w:r>
        <w:rPr>
          <w:color w:val="555555"/>
          <w:sz w:val="17"/>
        </w:rPr>
        <w:t xml:space="preserve">Zitiervorschlag: Eingangsformel NW_34506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https://recht.nulegal.eu/gesetze/NW_34506/eingangsformel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