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NW_34506 (Nordrhein-Westfalen) — Kategorien betroffener Personen und personenbezogener Daten</w:t>
      </w:r>
    </w:p>
    <w:p>
      <w:r>
        <w:rPr>
          <w:color w:val="555555"/>
          <w:sz w:val="18"/>
        </w:rPr>
        <w:t xml:space="preserve">Schülerinnen- und Schülerdatenverarbeitungsverordnung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Von der Datenverarbeitung betroffene Personen sind die Schülerinnen und Schüler, deren personenbezogene Daten der Auftragsverarbeiter für die Verantwortlichen nach § 1 Absatz 5 Satz 1 des Schülerinnen- und Schülerdatengesetzes NRW entgegennehmen kann.</w:t>
      </w:r>
    </w:p>
    <w:p>
      <w:r>
        <w:t xml:space="preserve">(2) Gegenstand der Datenverarbeitung sind die personenbezogenen Daten nach § 1 Absatz 3 des Schülerinnen- und Schülerdatenübermittlungsgesetzes NRW.</w:t>
      </w:r>
    </w:p>
    <w:p>
      <w:r>
        <w:rPr>
          <w:color w:val="555555"/>
          <w:sz w:val="17"/>
        </w:rPr>
        <w:t xml:space="preserve">Zitiervorschlag: § 3 NW_34506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https://recht.nulegal.eu/gesetze/NW_34506/3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