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NW_34506 (Nordrhein-Westfalen) — Inkrafttreten</w:t>
      </w:r>
    </w:p>
    <w:p>
      <w:r>
        <w:rPr>
          <w:color w:val="555555"/>
          <w:sz w:val="18"/>
        </w:rPr>
        <w:t xml:space="preserve">Schülerinnen- und Schülerdatenverarbeitungsverordnung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13 NW_34506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https://recht.nulegal.eu/gesetze/NW_34506/13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