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NW_34506 (Nordrhein-Westfalen) — Subunternehmen</w:t>
      </w:r>
    </w:p>
    <w:p>
      <w:r>
        <w:rPr>
          <w:color w:val="555555"/>
          <w:sz w:val="18"/>
        </w:rPr>
        <w:t xml:space="preserve">Schülerinnen- und Schülerdatenverarbeitungsverordnung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Auftragsverarbeiter darf weitere Auftragsverarbeiter und somit Subunternehmen in Anspruch nehmen. Artikel 28 Absatz 2 und Absatz 4 der Verordnung (EU) 2016/679 gilt uneingeschränkt.</w:t>
      </w:r>
    </w:p>
    <w:p>
      <w:r>
        <w:rPr>
          <w:color w:val="555555"/>
          <w:sz w:val="17"/>
        </w:rPr>
        <w:t xml:space="preserve">Zitiervorschlag: § 12 NW_34506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https://recht.nulegal.eu/gesetze/NW_34506/12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