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NW_34506 (Nordrhein-Westfalen) — Anwendungsbereich</w:t>
      </w:r>
    </w:p>
    <w:p>
      <w:r>
        <w:rPr>
          <w:color w:val="555555"/>
          <w:sz w:val="18"/>
        </w:rPr>
        <w:t xml:space="preserve">Schülerinnen- und Schülerdatenverarbeitungsverordnung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bezieht sich auf die Entgegennahme und Verarbeitung aller im Rahmen des Verfahrens nach § 1 Absatz 5 des Schülerinnen- und Schülerdatenübermittlungsgesetzes NRW vom 17. Oktober 2023 (GV. NRW. S. 1147), das durch Gesetz vom 10. Juli 2025 (GV. NRW. S. 684) geändert worden ist, anfallenden personenbezogenen Daten.</w:t>
      </w:r>
    </w:p>
    <w:p>
      <w:r>
        <w:t xml:space="preserve">(2) Die Verarbeitung der Daten im Auftrag des Verantwortlichen hat ausschließlich auf dem Gebiet des Europäischen Wirtschaftsraums stattzufinden.</w:t>
      </w:r>
    </w:p>
    <w:p>
      <w:r>
        <w:rPr>
          <w:color w:val="555555"/>
          <w:sz w:val="17"/>
        </w:rPr>
        <w:t xml:space="preserve">Zitiervorschlag: § 1 NW_34506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https://recht.nulegal.eu/gesetze/NW_34506/1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