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NW_34497 (Nordrhein-Westfalen) — Zuweisung weiterer Aufgaben an das Landesamt für Verbraucherschutz und Ernährung</w:t>
      </w:r>
    </w:p>
    <w:p>
      <w:r>
        <w:rPr>
          <w:color w:val="555555"/>
          <w:sz w:val="18"/>
        </w:rPr>
        <w:t xml:space="preserve">Verordnung zur Zuweisung weiterer Aufgaben an das Landesamt für Verbraucherschutz und Ernährung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Landesamt für Verbraucherschutz und Ernährung wird die Ausführung folgender Vorschriften übertragen:</w:t>
      </w:r>
    </w:p>
    <w:p>
      <w:r>
        <w:t xml:space="preserve">1. des Energieverbrauchsrelevante-Produkte-Gesetzes vom 27. Februar 2008 (BGBl. I S. 258) in der jeweils geltenden Fassung,</w:t>
      </w:r>
    </w:p>
    <w:p>
      <w:r>
        <w:t xml:space="preserve">2. des Energieverbrauchskennzeichnungsgesetzes vom 10. Mai 2012 (BGBl. I S. 1070) in der jeweils geltenden Fassung,</w:t>
      </w:r>
    </w:p>
    <w:p>
      <w:r>
        <w:t xml:space="preserve">3. der Energieverbrauchskennzeichnungsverordnung vom 30. Oktober 1997 (BGBl. I S. 2616) in der jeweils geltenden Fassung,</w:t>
      </w:r>
    </w:p>
    <w:p>
      <w:r>
        <w:t xml:space="preserve">4. der PKW-Energieverbrauchskennzeichnungsverordnung vom 28. Mai 2004 (BGBl. I S. 1037) in der jeweils geltenden Fassung und</w:t>
      </w:r>
    </w:p>
    <w:p>
      <w:r>
        <w:t xml:space="preserve">5. die Reifenkennzeichnungsverordnung vom 5. Juli 2021 (BGBl. I S. 2439) in der jeweils geltenden Fassung.</w:t>
      </w:r>
    </w:p>
    <w:p>
      <w:r>
        <w:rPr>
          <w:color w:val="555555"/>
          <w:sz w:val="17"/>
        </w:rPr>
        <w:t xml:space="preserve">Zitiervorschlag: § 1 NW_34497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https://recht.nulegal.eu/gesetze/NW_34497/1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