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NW_34453 (Nordrhein-Westfalen)</w:t>
      </w:r>
    </w:p>
    <w:p>
      <w:r>
        <w:rPr>
          <w:color w:val="555555"/>
          <w:sz w:val="18"/>
        </w:rPr>
        <w:t xml:space="preserve">eAkten-Verordnung Straf- und Bußgeldverfahren Finanzverwaltung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18. Oktober 2025</w:t>
      </w:r>
    </w:p>
    <w:p>
      <w:r>
        <w:t xml:space="preserve">Auf Grund des § 1 der Verordnung über die Übertragung von Ermächtigungen auf das Ministerium der Finanzen zum Erlass von Rechtsverordnungen zur elektronischen Aktenführung in Ordnungswidrigkeitsverfahren und Strafverfahren vom 29. April 2025 (GV. NRW. 2025, 434) verordnet das Ministerium der Finanzen:</w:t>
      </w:r>
    </w:p>
    <w:p>
      <w:r>
        <w:rPr>
          <w:color w:val="555555"/>
          <w:sz w:val="17"/>
        </w:rPr>
        <w:t xml:space="preserve">Zitiervorschlag: Eingangsformel NW_34453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https://recht.nulegal.eu/gesetze/NW_34453/eingangsformel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