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NW_34453 (Nordrhein-Westfalen) — Datenschutz und Datensicherheit</w:t>
      </w:r>
    </w:p>
    <w:p>
      <w:r>
        <w:rPr>
          <w:color w:val="555555"/>
          <w:sz w:val="18"/>
        </w:rPr>
        <w:t xml:space="preserve">eAkten-Verordnung Straf- und Bußgeldverfahren Finanzverwaltung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aktenführende Stelle hat als verantwortliche Stelle zu gewährleisten, dass die technischen und organisatorischen Maßnahmen zur Erfüllung der datenschutzrechtlichen Anforderungen getroffen werden.</w:t>
      </w:r>
    </w:p>
    <w:p>
      <w:r>
        <w:rPr>
          <w:color w:val="555555"/>
          <w:sz w:val="17"/>
        </w:rPr>
        <w:t xml:space="preserve">Zitiervorschlag: § 7 NW_34453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https://recht.nulegal.eu/gesetze/NW_34453/7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