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NW_34453 (Nordrhein-Westfalen) — Anwendungsbereich</w:t>
      </w:r>
    </w:p>
    <w:p>
      <w:r>
        <w:rPr>
          <w:color w:val="555555"/>
          <w:sz w:val="18"/>
        </w:rPr>
        <w:t xml:space="preserve">eAkten-Verordnung Straf- und Bußgeldverfahren Finanzverwaltung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ist anzuwenden auf elektronisch geführte Akten der Finanzbehörden in</w:t>
      </w:r>
    </w:p>
    <w:p>
      <w:r>
        <w:t xml:space="preserve">1. Ermittlungsverfahren nach § 386 Absatz 2 der Abgabenordnung und</w:t>
      </w:r>
    </w:p>
    <w:p>
      <w:r>
        <w:t xml:space="preserve">2. Verfahren wegen Steuerordnungswidrigkeiten nach § 409 der Abgabenordnung.</w:t>
      </w:r>
    </w:p>
    <w:p>
      <w:r>
        <w:rPr>
          <w:color w:val="555555"/>
          <w:sz w:val="17"/>
        </w:rPr>
        <w:t xml:space="preserve">Zitiervorschlag: § 1 NW_34453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https://recht.nulegal.eu/gesetze/NW_34453/1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