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NW_34433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in höheren Fachsemestern an den Hochschulen des Landes Nordrhein-Westfalen zum Studienjahr 2025/2026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in den Anlagen zu dieser Verordnung bezeichneten Studiengänge wird an den dort genannten Hochschulen die Zahl der Studienplätze in höheren Fachsemestern für das Studienjahr 2025/2026, mithin für das Wintersemester 2025/2026 und für das Sommersemester 2026, nach Maßgabe der Anlagen 1 bis 6 zu dieser Verordnung festgesetzt.</w:t>
      </w:r>
    </w:p>
    <w:p>
      <w:r>
        <w:t xml:space="preserve">(2) Soweit sich die der Festsetzung nach Absatz 1 zu Grunde liegenden Daten wesentlich ändern, wird das für die Hochschulen zuständige Ministerium die Zulassungszahlen durch Rechtsverordnung, die rückwirkend in Kraft tritt, neu festsetzen.</w:t>
      </w:r>
    </w:p>
    <w:p>
      <w:r>
        <w:rPr>
          <w:color w:val="555555"/>
          <w:sz w:val="17"/>
        </w:rPr>
        <w:t xml:space="preserve">Zitiervorschlag: § 1 NW_34433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https://recht.nulegal.eu/gesetze/NW_34433/1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