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NW_34405 (Nordrhein-Westfalen) — Inkrafttreten, Außerkrafttreten</w:t>
      </w:r>
    </w:p>
    <w:p>
      <w:r>
        <w:rPr>
          <w:color w:val="555555"/>
          <w:sz w:val="18"/>
        </w:rPr>
        <w:t xml:space="preserve">ÖGDG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ersten Tag des auf die Verkündung folgenden Kalendermonats in Kraft. Gleichzeitig tritt das Gesetz über den öffentlichen Gesundheitsdienst des Landes Nordrhein-Westfalen vom 25. November 1997 (GV. NRW. S. 430), das zuletzt durch Artikel 5 des Gesetzes vom 8. November 2022 (GV. NRW. S. 975) geändert worden ist, außer Kraft.</w:t>
      </w:r>
    </w:p>
    <w:p>
      <w:r>
        <w:t xml:space="preserve">Die Landesregierung Nordrhein-Westfalen</w:t>
      </w:r>
    </w:p>
    <w:p>
      <w:r>
        <w:t xml:space="preserve">Der Ministerpräsident</w:t>
      </w:r>
    </w:p>
    <w:p>
      <w:r>
        <w:t xml:space="preserve">Die Ministerin für Wirtschaft, Industrie, Klimaschutz und Energie</w:t>
      </w:r>
    </w:p>
    <w:p>
      <w:r>
        <w:t xml:space="preserve">Der Minister des Innern</w:t>
      </w:r>
    </w:p>
    <w:p>
      <w:r>
        <w:t xml:space="preserve">Zugleich für den Minister der Finanzen</w:t>
      </w:r>
    </w:p>
    <w:p>
      <w:r>
        <w:t xml:space="preserve">sowie den Minister für Arbeit, Gesundheit und Soziales</w:t>
      </w:r>
    </w:p>
    <w:p>
      <w:r>
        <w:t xml:space="preserve">sowie die Ministerin für Heimat, Kommunales, Bau und Digitalisierung</w:t>
      </w:r>
    </w:p>
    <w:p>
      <w:r>
        <w:t xml:space="preserve">Die Ministerin für Kinder, Jugend, Familie, Gleichstellung, Flucht und Integration</w:t>
      </w:r>
    </w:p>
    <w:p>
      <w:r>
        <w:t xml:space="preserve">Die Ministerin für Schule und Bildung</w:t>
      </w:r>
    </w:p>
    <w:p>
      <w:r>
        <w:t xml:space="preserve">Der Minister der Justiz</w:t>
      </w:r>
    </w:p>
    <w:p>
      <w:r>
        <w:t xml:space="preserve">Zugleich für den Minister für Umwelt, Naturschutz und Verkehr</w:t>
      </w:r>
    </w:p>
    <w:p>
      <w:r>
        <w:rPr>
          <w:color w:val="555555"/>
          <w:sz w:val="17"/>
        </w:rPr>
        <w:t xml:space="preserve">Zitiervorschlag: § 29 NW_34405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https://recht.nulegal.eu/gesetze/NW_34405/29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