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NW_34404 (Nordrhein-Westfalen)</w:t>
      </w:r>
    </w:p>
    <w:p>
      <w:r>
        <w:rPr>
          <w:color w:val="555555"/>
          <w:sz w:val="18"/>
        </w:rPr>
        <w:t xml:space="preserve">LfGA NRW-Errichtungsgesetz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Juni 2025</w:t>
      </w:r>
    </w:p>
    <w:p>
      <w:r>
        <w:t xml:space="preserve">(Artikel 1 des Gesetzes vom 10. Juni 2025 (GV. NRW. S. 530))</w:t>
      </w:r>
    </w:p>
    <w:p>
      <w:r>
        <w:rPr>
          <w:color w:val="555555"/>
          <w:sz w:val="17"/>
        </w:rPr>
        <w:t xml:space="preserve">Zitiervorschlag: Volltext NW_34404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https://recht.nulegal.eu/gesetze/NW_34404/volltext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