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NW_34404 (Nordrhein-Westfalen) — Rechtsnachfolge</w:t>
      </w:r>
    </w:p>
    <w:p>
      <w:r>
        <w:rPr>
          <w:color w:val="555555"/>
          <w:sz w:val="18"/>
        </w:rPr>
        <w:t xml:space="preserve">LfGA NRW-Errichtungsgesetz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Landesamt für Gesundheit und Arbeitsschutz Nordrhein-Westfalen übernimmt die Rechtsnachfolge für das Landeszentrum Gesundheit Nordrhein-Westfalen und das Landesinstitut für Arbeitsschutz und Arbeitsgestaltung Nordrhein-Westfalen.</w:t>
      </w:r>
    </w:p>
    <w:p>
      <w:r>
        <w:t xml:space="preserve">(2) Die dem Landeszentrum Gesundheit Nordrhein-Westfalen übertragenen Aufgaben und die dem Landesinstitut für Arbeitsschutz und Arbeitsgestaltung Nordrhein-Westfalen im Arbeitsschutz, Strahlenschutz und Umweltschutz übertragenen Aufgaben gehen mit Inkrafttreten dieses Gesetzes auf das Landesamt für Gesundheit und Arbeitsschutz Nordrhein-Westfalen über.</w:t>
      </w:r>
    </w:p>
    <w:p>
      <w:r>
        <w:t xml:space="preserve">(3) Die Mitarbeiterinnen und Mitarbeiter des Landeszentrum Gesundheit Nordrhein-Westfalen und des Landesinstituts für Arbeitsschutz und Arbeitsgestaltung Nordrhein-Westfalen sind mit Inkrafttreten dieses Gesetzes auf das Landesamt für Gesundheit und Arbeitsschutz Nordrhein-Westfalen übergeleitet.</w:t>
      </w:r>
    </w:p>
    <w:p>
      <w:r>
        <w:rPr>
          <w:color w:val="555555"/>
          <w:sz w:val="17"/>
        </w:rPr>
        <w:t xml:space="preserve">Zitiervorschlag: § 2 NW_34404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https://recht.nulegal.eu/gesetze/NW_34404/2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