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NW_34389 (Nordrhein-Westfalen) — Verschwiegenheit</w:t>
      </w:r>
    </w:p>
    <w:p>
      <w:r>
        <w:rPr>
          <w:color w:val="555555"/>
          <w:sz w:val="18"/>
        </w:rPr>
        <w:t xml:space="preserve">PVO UTW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Unbeschadet bestehender Informationspflichten, insbesondere gegenüber dem Berufsbildungsausschuss, haben die Mitglieder des Prüfungsausschusses, der Prüferdelegation und sonstige mit der Prüfung befassten Personen über alle Prüfungsvorgänge Verschwiegenheit gegenüber Dritten zu wahren.</w:t>
      </w:r>
    </w:p>
    <w:p>
      <w:r>
        <w:t xml:space="preserve">Teil 2</w:t>
      </w:r>
    </w:p>
    <w:p>
      <w:r>
        <w:t xml:space="preserve">Vorbereitung der Prüfung</w:t>
      </w:r>
    </w:p>
    <w:p>
      <w:r>
        <w:rPr>
          <w:color w:val="555555"/>
          <w:sz w:val="17"/>
        </w:rPr>
        <w:t xml:space="preserve">Zitiervorschlag: § 7 NW_34389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https://recht.nulegal.eu/gesetze/NW_34389/7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