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NW_34389 (Nordrhein-Westfalen) — Genehmigung, Inkrafttreten, Außerkrafttreten</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tritt am Tag nach der Verkündung in Kraft. Gleichzeitig mit dem Inkrafttreten dieser Verordnung tritt die Prüfungsordnung für die Durchführung von Abschlussprüfungen in den Umwelttechnischen Berufen sowie den Ausbildungsberufen Wasserbauer/Wasserbauerin und Fachkraft für Wasserwirtschaft (PO UTW) vom 15. Oktober 2010 (Abl. Reg. Ddf. 2010 S. 407) außer Kraft.</w:t>
      </w:r>
    </w:p>
    <w:p>
      <w:r>
        <w:t xml:space="preserve">Die Präsidentin</w:t>
      </w:r>
    </w:p>
    <w:p>
      <w:r>
        <w:t xml:space="preserve">Landesamt für Umwelt, Naturschutz und Klima Nordrhein-Westfalen</w:t>
      </w:r>
    </w:p>
    <w:p>
      <w:r>
        <w:rPr>
          <w:color w:val="555555"/>
          <w:sz w:val="17"/>
        </w:rPr>
        <w:t xml:space="preserve">Zitiervorschlag: § 35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